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15" w:lineRule="atLeast"/>
        <w:ind w:hanging="0" w:left="5760" w:right="0"/>
        <w:jc w:val="both"/>
      </w:pPr>
      <w:r>
        <w:rPr>
          <w:sz w:val="28"/>
          <w:szCs w:val="28"/>
        </w:rPr>
        <w:t>Утверждён</w:t>
      </w:r>
    </w:p>
    <w:p>
      <w:pPr>
        <w:pStyle w:val="style0"/>
        <w:spacing w:after="0" w:before="0" w:line="115" w:lineRule="atLeast"/>
        <w:ind w:hanging="0" w:left="5760" w:right="0"/>
        <w:jc w:val="both"/>
      </w:pPr>
      <w:r>
        <w:rPr>
          <w:sz w:val="28"/>
          <w:szCs w:val="28"/>
        </w:rPr>
        <w:t xml:space="preserve">приказом Министерства сельского, лесного хозяйства и природных ресурсов  Ульяновской области </w:t>
      </w:r>
    </w:p>
    <w:p>
      <w:pPr>
        <w:pStyle w:val="style0"/>
        <w:spacing w:after="0" w:before="0" w:line="115" w:lineRule="atLeast"/>
        <w:ind w:hanging="0" w:left="5760" w:right="0"/>
        <w:jc w:val="both"/>
      </w:pPr>
      <w:r>
        <w:rPr>
          <w:sz w:val="28"/>
          <w:szCs w:val="28"/>
        </w:rPr>
        <w:t>от ___________ № _____</w:t>
      </w:r>
    </w:p>
    <w:p>
      <w:pPr>
        <w:pStyle w:val="style0"/>
        <w:spacing w:after="0" w:before="0" w:line="115" w:lineRule="atLeast"/>
        <w:ind w:hanging="0" w:left="5760" w:right="0"/>
        <w:jc w:val="both"/>
      </w:pPr>
      <w:r>
        <w:rPr/>
      </w:r>
    </w:p>
    <w:p>
      <w:pPr>
        <w:pStyle w:val="style0"/>
        <w:spacing w:after="0" w:before="0" w:line="115" w:lineRule="atLeast"/>
        <w:ind w:hanging="0" w:left="5760" w:right="0"/>
        <w:jc w:val="both"/>
      </w:pPr>
      <w:r>
        <w:rPr/>
      </w:r>
    </w:p>
    <w:p>
      <w:pPr>
        <w:pStyle w:val="style0"/>
        <w:spacing w:after="0" w:before="0" w:line="115" w:lineRule="atLeast"/>
        <w:ind w:hanging="0" w:left="5760" w:right="0"/>
        <w:jc w:val="both"/>
      </w:pPr>
      <w:r>
        <w:rPr/>
      </w:r>
    </w:p>
    <w:p>
      <w:pPr>
        <w:pStyle w:val="style0"/>
        <w:spacing w:after="0" w:before="0" w:line="115" w:lineRule="atLeast"/>
        <w:jc w:val="center"/>
      </w:pPr>
      <w:r>
        <w:rPr>
          <w:b/>
          <w:sz w:val="28"/>
          <w:szCs w:val="28"/>
        </w:rPr>
        <w:t xml:space="preserve">ПРОЕКТ </w:t>
      </w:r>
    </w:p>
    <w:p>
      <w:pPr>
        <w:pStyle w:val="style0"/>
        <w:spacing w:after="0" w:before="0" w:line="115" w:lineRule="atLeast"/>
        <w:jc w:val="center"/>
      </w:pPr>
      <w:r>
        <w:rPr>
          <w:b/>
          <w:sz w:val="28"/>
          <w:szCs w:val="28"/>
        </w:rPr>
        <w:t>Административного регламента</w:t>
      </w:r>
    </w:p>
    <w:p>
      <w:pPr>
        <w:pStyle w:val="style0"/>
        <w:spacing w:after="0" w:before="0" w:line="115" w:lineRule="atLeast"/>
        <w:jc w:val="center"/>
      </w:pPr>
      <w:r>
        <w:rPr>
          <w:b/>
          <w:sz w:val="28"/>
          <w:szCs w:val="28"/>
        </w:rPr>
        <w:t>Министерства сельского, лесного хозяйства и природных ресурсов Ульяновской области по исполнению государственной функции по распределению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</w:t>
      </w:r>
    </w:p>
    <w:p>
      <w:pPr>
        <w:pStyle w:val="style0"/>
        <w:spacing w:after="0" w:before="0" w:line="115" w:lineRule="atLeast"/>
        <w:jc w:val="center"/>
      </w:pPr>
      <w:r>
        <w:rPr/>
      </w:r>
    </w:p>
    <w:p>
      <w:pPr>
        <w:pStyle w:val="style0"/>
        <w:spacing w:after="0" w:before="0" w:line="115" w:lineRule="atLeast"/>
        <w:jc w:val="both"/>
      </w:pPr>
      <w:r>
        <w:rPr/>
      </w:r>
    </w:p>
    <w:p>
      <w:pPr>
        <w:pStyle w:val="style0"/>
        <w:spacing w:after="0" w:before="0" w:line="115" w:lineRule="atLeast"/>
        <w:jc w:val="center"/>
      </w:pPr>
      <w:r>
        <w:rPr>
          <w:sz w:val="28"/>
          <w:szCs w:val="28"/>
        </w:rPr>
        <w:t>1. Общие положения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1.1. Административный регламент Министерства сельского, лесного хозяйства и природных ресурсов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Ульяновской области (далее – Министерства) по исполнению государственной функции по распределению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(далее – регламент, государственная функция) определяет сроки и последовательность административных процедур и административных действий Министерства при распределении квот добычи (вылова) водных биологических ресурсов.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1.2. Наименование государственной функции 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Распределение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1.3. Исполнение государственной функции по распределению квот добычи (вылова) водных биологических ресурсов осуществляется в соответствии с: </w:t>
      </w:r>
    </w:p>
    <w:p>
      <w:pPr>
        <w:pStyle w:val="style29"/>
        <w:spacing w:after="0" w:before="0" w:line="115" w:lineRule="atLeast"/>
        <w:ind w:firstLine="720" w:left="0" w:right="0"/>
        <w:jc w:val="both"/>
      </w:pPr>
      <w:r>
        <w:rPr>
          <w:rFonts w:ascii="Times New Roman" w:hAnsi="Times New Roman"/>
          <w:sz w:val="28"/>
          <w:szCs w:val="28"/>
        </w:rPr>
        <w:t>Конституцией Российской Федерации (Российская газета, 1993,</w:t>
        <w:br/>
        <w:t>№ 237);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Гражданским кодексом Российской Федерации от 30.11.1994 № 51-ФЗ (Собрание законодательства Российской Федерации, 1996, № 5, ст. 410);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Федеральным законом от 20.12.2004 № 166-ФЗ «О рыболовстве и сохранении водных биологических ресурсов» (Собрание законодательства Российской Федерации, 2004, № 52 (часть I), ст. 5270; 2006, № 1, ст. 10, № 23, ст. 2380, № 52 (часть I), ст. 5498; 2007, № 1 (часть I), ст. 23, № 17,ст. 1933,№ 50, ст. 6246; 2008, № 49, ст. 5748);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приказом Федерального агентства по рыболовству от 25.02.2009 № 143 «Об утверждении Порядка распределения промышленных квот пресноводных водных объектов между субъектами Российской Федерации» (Российская газета, 2009, № 64);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постановлением Правительства Российской Федерации от 15.12.2005</w:t>
        <w:br/>
        <w:t>№ 768 «О распределении общих допустимых уловов водных биологических ресурсов применительно к видам квот их добычи (вылова)» (Собрание законодательства РФ, 2005, № 52 (3 ч.), ст. 5734);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постановлением Правительства Российской Федерации от 15.08.2008</w:t>
        <w:br/>
        <w:t>№ 612 «О подготовке и заключении договора о закреплении долей квот добычи (вылова) водных биологических ресурсов» (Собрание законодательства Российской Федерации, 2008, № 34, ст. 3921, Российская газета», 2008, № 174);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постановлением Правительства Российской Федерации от 10.03.2009</w:t>
        <w:br/>
        <w:t>№ 219 «О внесении изменений в некоторые акты Правительства Российской Федерации» (Собрание законодательства Российской Федерации, 2009, № 12, ст. 1429);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постановлением Правительства Российской Федерации от 12.08.2008</w:t>
        <w:br/>
        <w:t>№ 601 «О государственном рыбохозяйственном реестре» (Собрание законодательства Российской Федерации, 2008, № 33, ст. 3863, Российская газета, 2008, № 175);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постановлением Правительства Ульяновской области от 02.10.2013 № 452-П «Об утверждении Положения о Министерстве сельского, лесного хозяйства и природных ресурсов Ульяновской области»</w:t>
      </w:r>
      <w:r>
        <w:rPr>
          <w:rFonts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 xml:space="preserve">1.4. Государственную функцию исполняет Министерство. 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color w:val="000000"/>
          <w:sz w:val="28"/>
          <w:szCs w:val="28"/>
        </w:rPr>
        <w:t xml:space="preserve">Структурным подразделением Министерства, ответственным за организацию исполнения государственной функции является </w:t>
      </w:r>
      <w:r>
        <w:rPr>
          <w:color w:val="000000"/>
          <w:sz w:val="28"/>
          <w:szCs w:val="28"/>
          <w:shd w:fill="FFFFFF" w:val="clear"/>
        </w:rPr>
        <w:t>отдел</w:t>
      </w:r>
      <w:r>
        <w:rPr>
          <w:color w:val="000000"/>
          <w:sz w:val="26"/>
          <w:szCs w:val="26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охраны и надзора за объектами животного мира и средой их обитания (далее Отдел).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1.5. Квоты добычи (вылова) водных биологических ресурсов для осуществления промышленного рыболовства, а также для организации любительского и спортивного рыболовства (далее – Квоты) распределяются между индивидуальными предпринимателями или юридическими лицами, являющимися пользователями водных биологических ресурсов (далее заявителями) путём заключения с ними договоров о закреплении долей квот добычи (вылова) водных биологических ресурсов. 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color w:val="000000"/>
          <w:sz w:val="28"/>
          <w:szCs w:val="28"/>
        </w:rPr>
        <w:t xml:space="preserve">1.6. Региональный государственный контроль (надзор) в области определения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осуществляется отделом Средневолжского территориального управления Росрыболовства. 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1.7. Права и обязанности должностных лиц при осуществлении регионального государственного контроля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Права и обязанности должностных лиц, осуществляющих государственный контроль (надзор) в области определения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определяется нормативно-правовым актом федерального органа.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1.8. Результатом исполнения государственной функции является заключение договора о закреплении долей квот добычи (вылова) водных биологических ресурсов на срок до 20 лет (далее – Договор). </w:t>
      </w:r>
    </w:p>
    <w:p>
      <w:pPr>
        <w:pStyle w:val="style30"/>
        <w:widowControl/>
        <w:spacing w:after="0" w:before="0" w:line="115" w:lineRule="atLeast"/>
        <w:jc w:val="both"/>
      </w:pPr>
      <w:r>
        <w:rPr/>
      </w:r>
    </w:p>
    <w:p>
      <w:pPr>
        <w:pStyle w:val="style0"/>
        <w:spacing w:after="0" w:before="0" w:line="115" w:lineRule="atLeast"/>
        <w:jc w:val="center"/>
      </w:pPr>
      <w:r>
        <w:rPr>
          <w:b/>
          <w:sz w:val="28"/>
          <w:szCs w:val="28"/>
        </w:rPr>
        <w:t>2. Требования к порядку исполнения государственной функции</w:t>
      </w:r>
    </w:p>
    <w:p>
      <w:pPr>
        <w:pStyle w:val="style0"/>
        <w:spacing w:after="0" w:before="0" w:line="115" w:lineRule="atLeast"/>
        <w:ind w:firstLine="709" w:left="0" w:right="0"/>
        <w:jc w:val="left"/>
      </w:pPr>
      <w:r>
        <w:rPr>
          <w:sz w:val="28"/>
          <w:szCs w:val="28"/>
        </w:rPr>
        <w:t>2.1.  Порядок информирования об исполнении государственной функции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2.1.1. Информация о Министерстве: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"/>
      </w:tblPr>
      <w:tblGrid>
        <w:gridCol w:w="2697"/>
        <w:gridCol w:w="6305"/>
      </w:tblGrid>
      <w:tr>
        <w:trPr>
          <w:cantSplit w:val="true"/>
        </w:trPr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432003, г. Ульяновск, ул. Радищева, д. 1</w:t>
            </w:r>
          </w:p>
        </w:tc>
      </w:tr>
      <w:tr>
        <w:trPr>
          <w:cantSplit w:val="true"/>
        </w:trPr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widowControl w:val="false"/>
              <w:spacing w:after="0" w:before="0" w:line="115" w:lineRule="atLeast"/>
            </w:pPr>
            <w:r>
              <w:rPr>
                <w:color w:val="000000"/>
                <w:sz w:val="28"/>
                <w:szCs w:val="28"/>
                <w:lang w:val="en-US"/>
              </w:rPr>
              <w:t>ul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oxota</w:t>
            </w:r>
            <w:r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yandex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>
        <w:trPr>
          <w:cantSplit w:val="true"/>
        </w:trPr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официальный сайт Министерства</w:t>
            </w:r>
          </w:p>
          <w:p>
            <w:pPr>
              <w:pStyle w:val="style0"/>
              <w:spacing w:after="0" w:before="0" w:line="115" w:lineRule="atLeast"/>
              <w:ind w:hanging="0" w:left="0" w:right="-90"/>
              <w:jc w:val="both"/>
            </w:pPr>
            <w:r>
              <w:rPr>
                <w:sz w:val="28"/>
                <w:szCs w:val="28"/>
              </w:rPr>
              <w:t>(сайт Министерства)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color w:val="000000"/>
                <w:sz w:val="28"/>
                <w:szCs w:val="28"/>
                <w:shd w:fill="FFFFFF" w:val="clear"/>
              </w:rPr>
              <w:t>www.mpr73.ru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 xml:space="preserve">график работы: 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 xml:space="preserve">понедельник вторник 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 xml:space="preserve">среда 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 xml:space="preserve">четверг 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 xml:space="preserve">пятница 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суббота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type="dxa" w:w="63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15" w:lineRule="atLeast"/>
              <w:jc w:val="both"/>
            </w:pPr>
            <w:r>
              <w:rPr/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 xml:space="preserve">9.00 - 18.00 (перерыв 13.00 - 14.00) 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9.00 - 18.00 (перерыв 13.00 - 14.00)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9.00 - 18.00 (перерыв 13.00 - 14.00)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9.00 - 18.00 (перерыв 13.00 - 14.00)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9.00 - 18.00 (перерыв 13.00 - 14.00)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выходной</w:t>
            </w:r>
          </w:p>
          <w:p>
            <w:pPr>
              <w:pStyle w:val="style0"/>
              <w:spacing w:after="0" w:before="0" w:line="115" w:lineRule="atLeast"/>
              <w:jc w:val="both"/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Место исполнения государственной функции обеспечено соответствующими техническими средствами: городской телефонной сетью, компьютером и иной оргтехникой, программным обеспечением.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Вход в здание Министерства осуществляется по удостоверению личности.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Место для приёма оборудовано письменным столом, стульями.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2.1.2. Справочный телефон Отдела– (8422) </w:t>
      </w:r>
      <w:r>
        <w:rPr>
          <w:sz w:val="28"/>
          <w:szCs w:val="28"/>
          <w:shd w:fill="FFFFFF" w:val="clear"/>
        </w:rPr>
        <w:t>38-47-33</w:t>
      </w:r>
      <w:r>
        <w:rPr>
          <w:sz w:val="28"/>
          <w:szCs w:val="28"/>
        </w:rPr>
        <w:t xml:space="preserve"> . 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2.1.3. Сведения о ходе исполнения государственной функции могут быть получены при личном или письменном обращении получателей государственной услуги, а также с использованием средств телефонной связи, на Интернет-сайте Министерства, на официальном сайте Губернатора и Правительства Ульяновской области в разделе «Административная реформа в Ульяновской области».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color w:val="000000"/>
          <w:sz w:val="28"/>
          <w:szCs w:val="28"/>
        </w:rPr>
        <w:t xml:space="preserve">2.1.4. </w:t>
      </w:r>
      <w:r>
        <w:rPr>
          <w:rFonts w:cs="Times New Roman CYR"/>
          <w:color w:val="000000"/>
          <w:sz w:val="28"/>
          <w:szCs w:val="28"/>
        </w:rPr>
        <w:t xml:space="preserve">Информация и соответствующие консультации </w:t>
      </w:r>
      <w:r>
        <w:rPr>
          <w:sz w:val="28"/>
          <w:szCs w:val="28"/>
        </w:rPr>
        <w:t xml:space="preserve">о ходе исполнения государственной функции </w:t>
      </w:r>
      <w:r>
        <w:rPr>
          <w:rFonts w:cs="Times New Roman CYR"/>
          <w:color w:val="000000"/>
          <w:sz w:val="28"/>
          <w:szCs w:val="28"/>
        </w:rPr>
        <w:t>могут быть получены путём обращения в Отдел по телефону, при личном приёме, путём обращения в письменной форме, по электронной почте.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При осуществлении консультирования по телефону, электронной почте, письменном виде должностные лица структурного подразделения, ответственного за исполнение государственной функции, обязаны, в соответствии с поступившим запросом, предоставлять информацию по следующим вопросам: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- о действующих нормативных правовых актах по распределению Квот и заключению Договоров;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- о принятых решениях по распределению Квот и заключению Договоров;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- о месте размещения на официальном сайте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информации о порядке распределения Квот.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При консультировании по электронной почте ответ на обращение направляется на электронный адрес автора обращения в срок, установленный действующим порядком рассмотрения обращения граждан, но не позднее 10 дней с даты регистрации поступления такого обращения в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 xml:space="preserve">Информация, </w:t>
      </w:r>
      <w:r>
        <w:rPr>
          <w:sz w:val="28"/>
          <w:szCs w:val="28"/>
        </w:rPr>
        <w:t xml:space="preserve">по исполнению государственной функции </w:t>
      </w:r>
      <w:r>
        <w:rPr>
          <w:rFonts w:cs="Times New Roman CYR"/>
          <w:color w:val="000000"/>
          <w:sz w:val="28"/>
          <w:szCs w:val="28"/>
        </w:rPr>
        <w:t>предоставляется ответственным работником, участвующим в процедуре исполнения государственной функции.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>Информация может быть предоставлена на бумажных носителях размещённых на стендах Министерства, в электронной форме в информационно-телекоммуникационной сети «Интернет» на официальном сайте и сайте Министерства, на официальном сайте Губернатора и Правительства Ульяновской области в разделе «Административная реформа Ульяновской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 xml:space="preserve">Информирование о ходе </w:t>
      </w:r>
      <w:r>
        <w:rPr>
          <w:sz w:val="28"/>
          <w:szCs w:val="28"/>
        </w:rPr>
        <w:t xml:space="preserve">исполнения государственной функции </w:t>
      </w:r>
      <w:r>
        <w:rPr>
          <w:rFonts w:cs="Times New Roman CYR"/>
          <w:color w:val="000000"/>
          <w:sz w:val="28"/>
          <w:szCs w:val="28"/>
        </w:rPr>
        <w:t xml:space="preserve">осуществляется должностными лицами как при личном контакте </w:t>
      </w:r>
      <w:r>
        <w:rPr>
          <w:rFonts w:cs="Times New Roman CYR"/>
          <w:color w:val="000000"/>
          <w:sz w:val="28"/>
          <w:szCs w:val="28"/>
          <w:shd w:fill="FFFFFF" w:val="clear"/>
        </w:rPr>
        <w:t>с заявителем</w:t>
      </w:r>
      <w:r>
        <w:rPr>
          <w:rFonts w:cs="Times New Roman CYR"/>
          <w:color w:val="000000"/>
          <w:sz w:val="28"/>
          <w:szCs w:val="28"/>
        </w:rPr>
        <w:t>, так и с использованием средств почтовой, телефонной связи или посредством электронной почты.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В любое время с момента приёма заявок заявитель имеет право на получение сведений о прохождении рассмотрения документов. Для получения сведений о прохождении рассмотрения документов заявителем указываются: фамилия, имя, отчество (если имеется), либо наименование юридического лица. Заявителю предоставляются сведения о том, на каком этапе рассмотрения (в процессе выполнения какой административной процедуры) находятся документы.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>2.1.5. Информирование заявителей об исполнении государственной функции о порядке её оказания предоставляется ответственным работником, участвующего в процедуре исполнения государственной функции.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>2.1.6. Информация об исполнении государственной функции о порядке её оказания размещается на информационном стенде, расположенном в общедоступном месте Министерства по адресу: г. Ульяновск, ул. Подлесная, 24 , содержится следующая информация: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 xml:space="preserve">месторасположение, график (режим) работы, номера телефонов, адрес </w:t>
      </w:r>
      <w:r>
        <w:rPr>
          <w:rFonts w:cs="Times New Roman CYR"/>
          <w:color w:val="000000"/>
          <w:sz w:val="28"/>
          <w:szCs w:val="28"/>
          <w:shd w:fill="FFFFFF" w:val="clear"/>
        </w:rPr>
        <w:t xml:space="preserve">сайта Министерства и </w:t>
      </w:r>
      <w:r>
        <w:rPr>
          <w:rFonts w:cs="Times New Roman CYR"/>
          <w:color w:val="000000"/>
          <w:sz w:val="28"/>
          <w:szCs w:val="28"/>
        </w:rPr>
        <w:t>электронной почты Министерства;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>процедура исполнения государственной функции;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>порядок обжалования решения, действия или бездействия органов, участвующих в исполнении государственной функции, их должностных лиц и работников;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>извлечения из законодательных и иных нормативных правовых актов, регулирующих деятельность по исполнению государственной функции;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color w:val="000000"/>
          <w:sz w:val="28"/>
          <w:szCs w:val="28"/>
        </w:rPr>
        <w:t>извлечения из текста настоящего регламента с приложениями.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2.2. </w:t>
      </w:r>
      <w:r>
        <w:rPr>
          <w:rFonts w:cs="Times New Roman CYR"/>
          <w:color w:val="000000"/>
          <w:sz w:val="28"/>
          <w:szCs w:val="28"/>
        </w:rPr>
        <w:t>Исполнение государственной функции</w:t>
      </w:r>
      <w:r>
        <w:rPr>
          <w:color w:val="000000"/>
          <w:sz w:val="28"/>
          <w:szCs w:val="28"/>
        </w:rPr>
        <w:t xml:space="preserve"> специалистами Министерства осуществляется на безвозмездной основе.</w:t>
      </w:r>
    </w:p>
    <w:p>
      <w:pPr>
        <w:pStyle w:val="style30"/>
        <w:widowControl/>
        <w:spacing w:after="0" w:before="0" w:line="115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Министерство ежеквартально на безвозмездной основе осуществляет передачу Федеральному агентству по рыболовству документированной информации о принятых решениях и заключенных договорах для внесения соответствующей записи в государственный рыбохозяйственный реестр.</w:t>
      </w:r>
    </w:p>
    <w:p>
      <w:pPr>
        <w:pStyle w:val="style0"/>
        <w:spacing w:after="0" w:before="0" w:line="115" w:lineRule="atLeast"/>
        <w:ind w:firstLine="709" w:left="0" w:right="0"/>
      </w:pPr>
      <w:r>
        <w:rPr>
          <w:sz w:val="28"/>
          <w:szCs w:val="28"/>
        </w:rPr>
        <w:t>2.3. Сроки исполнения государственной функции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2.3.1. </w:t>
      </w:r>
      <w:r>
        <w:rPr>
          <w:color w:val="000000"/>
          <w:sz w:val="28"/>
          <w:szCs w:val="28"/>
        </w:rPr>
        <w:t>Министерство</w:t>
      </w:r>
      <w:r>
        <w:rPr>
          <w:sz w:val="28"/>
          <w:szCs w:val="28"/>
        </w:rPr>
        <w:t>: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а) осуществляет приём заявок на получение Квот в течение 30 календарных дней с момента опубликования извещения на официальном сайте Министерства;</w:t>
      </w:r>
    </w:p>
    <w:p>
      <w:pPr>
        <w:pStyle w:val="style0"/>
        <w:ind w:firstLine="708" w:left="0" w:right="0"/>
        <w:jc w:val="both"/>
      </w:pPr>
      <w:r>
        <w:rPr>
          <w:color w:val="000000"/>
          <w:sz w:val="28"/>
          <w:szCs w:val="28"/>
        </w:rPr>
        <w:t>б) в случае, если в течение года проводился конкурс по предоставлению рыбопромысловых участков, победители могут подать заявку на получение Квот в течение 30 дней с даты подписания договора о предоставлении рыбопромыслового участка.</w:t>
      </w:r>
    </w:p>
    <w:p>
      <w:pPr>
        <w:pStyle w:val="style30"/>
        <w:widowControl/>
        <w:spacing w:after="0" w:before="0" w:line="115" w:lineRule="atLeast"/>
        <w:ind w:firstLine="708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2.3.2. Министерство в течение 10 дней с даты распределения общих допустимых уловов водных биологических ресурсов во внутренних водах Российской Федерации (т.е. между субъектами Российской Федерации) на предстоящий год распределяет Квоты и издаёт приказ о закреплении долей квот добычи (вылова) водных биологических ресурсов в рыбохозяйственных водоёмах Ульяновской области. 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2.3.3. В соответствии с утверждёнными долями квот добычи (вылова) водных биологических ресурсов в рыбохозяйственных водоёмах Ульяновской области Министерство в течение 20 дней заключает с заявителями Договоры о закреплении за ними долей на срок до 20 лет.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2.3.4. Министерство в течение 5 рабочих дней с даты распределения квот направляет это решение в территориальный орган Федерального агентства по рыболовству по Ульяновской области.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2.3.5. Министерство на основании заключенных договоров о закреплении долей распределяет Квоты между заявителями ежегодно, до 30 декабря, но не ранее даты утверждения Федеральным агентством по рыболовству общих допустимых уловов водных биологических ресурсов во внутренних водах Российской Федерации.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2.3.6. Общий срок осуществления государственной функции составляет 90 дней.</w:t>
      </w:r>
    </w:p>
    <w:p>
      <w:pPr>
        <w:pStyle w:val="style0"/>
        <w:spacing w:after="0" w:before="0" w:line="115" w:lineRule="atLeast"/>
        <w:jc w:val="center"/>
      </w:pPr>
      <w:r>
        <w:rPr>
          <w:b/>
          <w:sz w:val="28"/>
          <w:szCs w:val="28"/>
        </w:rPr>
        <w:t>3. Административные процедуры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3.1. Реализация государственной функции «Распределение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ресурсов» включает в себя следующие административные процедуры: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- приём и регистрация документов;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- рассмотрение документов и принятие решения;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- выдача (отправка) заявителю договора или уведомления об отказе в заключении договора.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Блок-схема последовательности действий по осуществлению государственной функции приведена в приложении 3 к регламенту.</w:t>
      </w:r>
    </w:p>
    <w:p>
      <w:pPr>
        <w:pStyle w:val="style0"/>
        <w:widowControl w:val="false"/>
        <w:spacing w:after="0" w:before="0" w:line="115" w:lineRule="atLeast"/>
        <w:ind w:firstLine="720" w:left="0" w:right="0"/>
        <w:jc w:val="both"/>
      </w:pPr>
      <w:r>
        <w:rPr>
          <w:rFonts w:cs="Times New Roman CYR"/>
          <w:sz w:val="28"/>
          <w:szCs w:val="28"/>
        </w:rPr>
        <w:t>3.2</w:t>
      </w:r>
      <w:r>
        <w:rPr>
          <w:color w:val="000000"/>
          <w:sz w:val="28"/>
          <w:szCs w:val="28"/>
        </w:rPr>
        <w:t>. Приём и регистрация документов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 xml:space="preserve">3.2.1. Основанием для начала осуществления процедуры </w:t>
      </w:r>
      <w:r>
        <w:rPr>
          <w:bCs/>
          <w:sz w:val="28"/>
          <w:szCs w:val="28"/>
        </w:rPr>
        <w:t xml:space="preserve">приёма и </w:t>
      </w:r>
      <w:r>
        <w:rPr>
          <w:color w:val="000000"/>
          <w:sz w:val="28"/>
          <w:szCs w:val="28"/>
        </w:rPr>
        <w:t>регистрации документов</w:t>
      </w:r>
      <w:r>
        <w:rPr>
          <w:sz w:val="28"/>
          <w:szCs w:val="28"/>
        </w:rPr>
        <w:t xml:space="preserve"> является подача заявки индивидуального предпринимателя или юридического лица (далее - заявка) в соответствии с пунктом 3.2.4. и Приложением 1 к настоящему регламенту, а также с перечнем прилагаемых в соответствии с пунктом 3.2.5 документов, которые подаются в Министерство заявителем лично (по доверенности) или направляется в адрес Министерства почтовым отправлением с описью вложения прилагаемых документов.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 xml:space="preserve">3.2.2. Сотрудник Отдела осуществляет приём и регистрацию заявок и документов, предусмотренных пунктами 3.2.4 и 3.2.5 по истечению </w:t>
      </w:r>
      <w:r>
        <w:rPr>
          <w:color w:val="000000"/>
          <w:sz w:val="28"/>
          <w:szCs w:val="28"/>
        </w:rPr>
        <w:t xml:space="preserve">30 календарных дней с момента опубликования извещения на официальном сайте Министерства. 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3.2.3. Заявителями в соответствии с настоящим регламентом являются индивидуальные предприниматели и юридические лица, зарегистрированные в Российской Федерации в соответствии с Федеральным законом от 08.08.2001</w:t>
        <w:br/>
        <w:t>№ 129-ФЗ «О государственной регистрации юридических лиц и индивидуальных предпринимателей», и за которыми закреплены по договору рыбопромысловые участки.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3.2.4. Заявитель, претендующий на закрепление за ним Квот, подаёт в </w:t>
      </w:r>
      <w:r>
        <w:rPr>
          <w:color w:val="000000"/>
          <w:sz w:val="28"/>
          <w:szCs w:val="28"/>
        </w:rPr>
        <w:t>Министерство</w:t>
      </w:r>
      <w:r>
        <w:rPr>
          <w:sz w:val="28"/>
          <w:szCs w:val="28"/>
        </w:rPr>
        <w:t xml:space="preserve"> заявку в соответствии с требованиями, изложенными в приложении 1 к настоящему регламенту, в которой указываются следующие сведения о заявителе: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полное и сокращённое наименование, организационно-правовая форма, место нахождения, банковские реквизиты, идентификационный номер налогоплательщика и контактный телефон - для юридического лица;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фамилия, имя, отчество, данные документа, удостоверяющего личность, место жительства или место его нахождения, банковские реквизиты, идентификационный номер налогоплательщика и контактный телефон - для индивидуального предпринимателя.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3.2.5. К заявке прилагаются следующие документы: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а) копии учредительных документов, выписка из Единого государственного реестра юридических лиц, полученная не ранее чем за 6 месяцев до начала приёма документов, или нотариально заверенная копия такой выписки (в случае, если была осуществлена реорганизация, также представляются свидетельство о внесении изменений в Единый государственный реестр юридических лиц, передаточный акт или разделительный баланс с отметкой налоговых органов) - для юридического лица;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б) выписка из Единого государственного реестра индивидуальных предпринимателей, полученная не ранее чем за 6 месяцев до начала приёма документов, или нотариально заверенная копия такой выписки - для индивидуального предпринимателя;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в) копия договора о предоставлении рыбопромыслового участка (при условии его наличия);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г) документ, подтверждающий полномочия лица на осуществление действий от имени заявителя (в случае необходимости).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д) справка из налогового органа по месту государственной регистрации заявителя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отчётный период, размер которой превышает 25 процентов балансовой стоимости активов заявителя по данным бухгалтерской отчётности за последний отчетный период. В случае наличия задолженности в размере, превышающем 25 процентов, заявитель 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>
      <w:pPr>
        <w:pStyle w:val="style30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3.2.6. Требовать от заявителя представления документов, не предусмотренных настоящим регламентом, не допускается.</w:t>
      </w:r>
    </w:p>
    <w:p>
      <w:pPr>
        <w:pStyle w:val="style30"/>
        <w:widowControl/>
        <w:spacing w:after="0" w:before="0" w:line="115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3.2.7. Документы, предусмотренные пунктами 3.2.4 и 3.2.5 настоящего регламента, представляются заявителем в </w:t>
      </w:r>
      <w:r>
        <w:rPr>
          <w:rFonts w:ascii="Times New Roman" w:cs="Times New Roman" w:hAnsi="Times New Roman"/>
          <w:color w:val="000000"/>
          <w:sz w:val="28"/>
          <w:szCs w:val="28"/>
        </w:rPr>
        <w:t>Министерство</w:t>
      </w:r>
      <w:r>
        <w:rPr>
          <w:rFonts w:ascii="Times New Roman" w:cs="Times New Roman" w:hAnsi="Times New Roman"/>
          <w:sz w:val="28"/>
          <w:szCs w:val="28"/>
        </w:rPr>
        <w:t xml:space="preserve"> непосредственно либо направляются по почте ценным письмом с уведомлением о вручении.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3.2.8. За представление недостоверных сведений заявитель несёт ответственность в соответствии с законодательством Российской Федерации.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3.2.9. Заявка и прилагаемые к ним документы, указанные в пункте 3.2.5 настоящего регламента могут быть доставлены лично, почтовым отправлением, по информационным системам общего пользования.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3.2.10. Заявки и документы, предусмотренные пунктом 3.2.5, поступившие по факсимильной связи, и принимаются и учитываются в Отделе;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3.2.11. Заявки и документы, предусмотренные пунктом 3.2.5, поступившие на сайт Министерства в информационно-телекоммуникационной</w:t>
      </w:r>
      <w:r>
        <w:rPr>
          <w:color w:val="000000"/>
          <w:sz w:val="28"/>
          <w:szCs w:val="28"/>
          <w:shd w:fill="FFFFFF" w:val="clear"/>
        </w:rPr>
        <w:t xml:space="preserve"> сети «Интернет»</w:t>
      </w:r>
      <w:r>
        <w:rPr>
          <w:sz w:val="28"/>
          <w:szCs w:val="28"/>
        </w:rPr>
        <w:t xml:space="preserve">, принимаются специалистом </w:t>
      </w:r>
      <w:r>
        <w:rPr>
          <w:sz w:val="28"/>
          <w:szCs w:val="28"/>
          <w:shd w:fill="FF0000" w:val="clear"/>
        </w:rPr>
        <w:t>отдела аналитики и развития коммуникаций</w:t>
      </w:r>
      <w:r>
        <w:rPr>
          <w:rFonts w:ascii="Times New Roman CYR" w:cs="Times New Roman CYR" w:eastAsia="Times New Roman CYR" w:hAnsi="Times New Roman CYR"/>
          <w:color w:val="000000"/>
          <w:sz w:val="28"/>
          <w:szCs w:val="28"/>
          <w:shd w:fill="FF0000" w:val="clear"/>
        </w:rPr>
        <w:t xml:space="preserve"> </w:t>
      </w:r>
      <w:r>
        <w:rPr>
          <w:rFonts w:cs="Times New Roman CYR"/>
          <w:color w:val="000000"/>
          <w:sz w:val="28"/>
          <w:szCs w:val="28"/>
          <w:shd w:fill="FF0000" w:val="clear"/>
        </w:rPr>
        <w:t>Министерства</w:t>
      </w:r>
      <w:r>
        <w:rPr>
          <w:sz w:val="28"/>
          <w:szCs w:val="28"/>
        </w:rPr>
        <w:t xml:space="preserve"> и незамедлительно перенаправляются в Отдел, где и учитываются;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3.2.12. Заявка и прилагаемые к ней документы регистрируется в день её подачи (в день поступления заявки в Министерство, направленной заявителем по почте), о чём на заявлении проставляется дата поступления заявки и регистрационный номер.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3.2.13. В день поступления заявки и прилагаемых к ней заявителем документов начальник Отдела устанавливает срок рассмотрения заявки и передаёт её непосредственному исполнителю.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 xml:space="preserve">3.2.14. Учёт и хранение документов, представленных заявителем в соответствии с пунктами 3.2.4 и 3.2.5 настоящего регламента, осуществляются </w:t>
      </w:r>
      <w:r>
        <w:rPr>
          <w:color w:val="000000"/>
          <w:sz w:val="28"/>
          <w:szCs w:val="28"/>
        </w:rPr>
        <w:t>Министерством</w:t>
      </w:r>
      <w:r>
        <w:rPr>
          <w:sz w:val="28"/>
          <w:szCs w:val="28"/>
        </w:rPr>
        <w:t>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color w:val="000000"/>
          <w:sz w:val="28"/>
          <w:szCs w:val="28"/>
        </w:rPr>
        <w:t xml:space="preserve">3.2.15. Результатом выполнения административных действий (процедур) по приёму </w:t>
      </w:r>
      <w:r>
        <w:rPr>
          <w:bCs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регистрации документов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регистрация заявки в журнале приёма заявок (далее Журнал), поступивших в Министерство.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3.3. Рассмотрение документов и принятие решения.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3.3.1. Основанием для начала осуществления процедуры рассмотрения документов и принятие решения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Отделе является поступившая и зарегистрированная в установленном порядке заявка.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3.3.2. Сотрудник Отдела: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рассматривает заявку по существу;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принимает решение о выделении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ресурсов;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color w:val="000000"/>
          <w:sz w:val="28"/>
          <w:szCs w:val="28"/>
        </w:rPr>
        <w:t>распределяет квоты между заявителями в соответствии с поступившими заявками.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 xml:space="preserve">3.3.3. Документы, предусмотренные пунктами 3.2.4 и 3.2.5 настоящего регламента, рассматриваются </w:t>
      </w:r>
      <w:r>
        <w:rPr>
          <w:color w:val="000000"/>
          <w:sz w:val="28"/>
          <w:szCs w:val="28"/>
        </w:rPr>
        <w:t>Министерством</w:t>
      </w:r>
      <w:r>
        <w:rPr>
          <w:sz w:val="28"/>
          <w:szCs w:val="28"/>
        </w:rPr>
        <w:t xml:space="preserve"> в течение 15 дней.</w:t>
      </w:r>
    </w:p>
    <w:p>
      <w:pPr>
        <w:pStyle w:val="style30"/>
        <w:widowControl/>
        <w:spacing w:after="0" w:before="0" w:line="115" w:lineRule="atLeast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3.3.4. </w:t>
      </w:r>
      <w:r>
        <w:rPr>
          <w:rFonts w:ascii="Times New Roman" w:cs="Times New Roman" w:hAnsi="Times New Roman"/>
          <w:color w:val="000000"/>
          <w:sz w:val="28"/>
          <w:szCs w:val="28"/>
        </w:rPr>
        <w:t>Министерство</w:t>
      </w:r>
      <w:r>
        <w:rPr>
          <w:rFonts w:ascii="Times New Roman" w:cs="Times New Roman" w:hAnsi="Times New Roman"/>
          <w:sz w:val="28"/>
          <w:szCs w:val="28"/>
        </w:rPr>
        <w:t xml:space="preserve"> не рассматривает заявку, если заявитель не представил все документы, предусмотренные пунктами 3.2.4. и 3.2.5 настоящего регламента.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3.3.5. Доля заявителя определяется на основании данных об объёме водных биологических ресурсов, добытых (выловленных) заявителем за последние 3 года в водных объектах Ульяновской области, и выражается в процентах с точностью до 3 цифр после запятой.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3.3.6. Квоты в отношении каждого заявителя рассчитываются как произведение закреплённой за заявителем доли по соответствующему виду водного биоресурса и утверждённой в установленном порядке на очередной год Федеральным агентством по рыболовству квоты по соответствующему району добычи (вылова).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  <w:shd w:fill="FFFFFF" w:val="clear"/>
        </w:rPr>
        <w:t>3.3.7. Квоты между заявителями распределяются специалистом Отдела ежегодно,</w:t>
      </w:r>
      <w:r>
        <w:rPr>
          <w:color w:val="000000"/>
          <w:sz w:val="28"/>
          <w:szCs w:val="28"/>
        </w:rPr>
        <w:t xml:space="preserve"> после утверждения Федеральным агентством по рыболовству общих допустимых уловов водных биологических ресурсов во внутренних водах Российской Федерации.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3.3.8. Основаниями для приостановления исполнения государственной функции является: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отсутствие в заявке на получение Квот сведений, указанных в пункте 3.2.4 и 3.2.5 регламента,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предоставление не всех документов, указанных в пункте 3.2.5 настоящего регламента;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совершение заявителем в предшествующем и текущем календарных годах двух или более нарушений правил рыболовства, установленных в соответствии с законодательством Российской Федерации, в результате которых был причинён крупный ущерб водным биоресурсам;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отсутствие указанных в заявлении водных биоресурсов в перечне видов водных биоресурсов, в опубликованном Федеральным агентством по рыболовству нормативно-правовом акте о распределении общих допустимых уловов водных биологических ресурсов во внутренних водах Российской Федерации.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3.3.9. Основаниями для отказа в исполнении государственной функции, являются: 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заявитель представил заведомо недостоверные или искаженные сведения;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заявитель на дату подачи заявки не уплатил штрафы и (или) не возместил в установленном законодательством Российской Федерации  порядке ущерб, причинённый водным биоресурсам, если имело место нарушение им законодательства Российской Федерации или международных договоров Российской Федерации в области рыболовства и сохранения водных биоресурсов;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заявитель нарушил условия ранее заключенного договора о закреплении за ним доли, за нарушение которых предусмотрено расторжение такого договора (в отношении тех видов водных биоресурсов, договор по которым расторгнут).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3.3.10. В случае принятия решения о приостановлении исполнения государственной функции специалист Отдела в течение 5 рабочих дней направляет в адрес заявителя уведомление о необходимости приведения документов в соответствие с требованиями, указанными в пунктах 3.2.4 и (или) 3.2.5.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3.3.11. В случае отказа от исполнения государственной функции специалист Отдела в течение 5 рабочих дней с момента регистрации заявки направляет в адрес заявителя письмо об отказе в заключении договора с указанием причин отказа.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3.3.12. В случае соответствия заявки требованиям, изложенным в пунктами 3.2.4 и 3.2.5 исполнитель в течении 1 рабочего дня готовит проект приказа о закреплении долей квот добычи (вылова) водных биологических ресурсов в рыбохозяйственных водоёмах Ульяновской области».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color w:val="000000"/>
          <w:sz w:val="28"/>
          <w:szCs w:val="28"/>
        </w:rPr>
        <w:t xml:space="preserve">3.3.13. Результатом выполнения административных действий (процедур) по </w:t>
      </w:r>
      <w:r>
        <w:rPr>
          <w:sz w:val="28"/>
          <w:szCs w:val="28"/>
        </w:rPr>
        <w:t>рассмотрению документов и принятию решения</w:t>
      </w:r>
      <w:r>
        <w:rPr>
          <w:color w:val="000000"/>
          <w:sz w:val="28"/>
          <w:szCs w:val="28"/>
        </w:rPr>
        <w:t xml:space="preserve"> является </w:t>
      </w:r>
      <w:r>
        <w:rPr>
          <w:sz w:val="28"/>
          <w:szCs w:val="28"/>
        </w:rPr>
        <w:t>принятие решения о выделении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или отказ в выделении квот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3.4. Выдача (отправка) заявителю договора или уведомления об отказе в заключении договора.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>3.4.1. Основанием для начала осуществления процедуры является принятие решения о выделении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ресурсов.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3.4.2. Специалист Отдела: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оформляет договор с заявителем;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направляет договор на подпись уполномоченному должностному лицу Министерства;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2 экземпляра договора, подписанного со стороны Министерства, направляет в адрес заявителя;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Регистрирует подписанный договор и выдаёт 2 экземпляр заявителю.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3.4.3. В соответствии с распределёнными объёмами и утверждёнными долями Министерство заключает с заявителями договоры о закреплении за ними долей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формой примерного договора (Приложение 2 к регламенту).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3.4.4. Договор заключается в соответствии с условиями, предусмотренными в настоящем регламенте на срок не более 20 лет.</w:t>
      </w:r>
    </w:p>
    <w:p>
      <w:pPr>
        <w:pStyle w:val="style30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3.4.5. Основаниями для заключения договора являются: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а) нормативно-правовой акт Федерального агентства по рыболовству о распределении общих допустимых уловов водных биологических ресурсов во внутренних водах Российской Федерации;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б) решение Министерства по распределению Квот;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в) приказ Министерства «О закреплении долей квот добычи (вылова) водных биологических ресурсов в рыбохозяйственных водоёмах Ульяновской области».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3.4.6. Договор составляется в 2 экземплярах, 1 экземпляр остаётся в </w:t>
      </w:r>
      <w:r>
        <w:rPr>
          <w:color w:val="000000"/>
          <w:sz w:val="28"/>
          <w:szCs w:val="28"/>
        </w:rPr>
        <w:t>Министерстве</w:t>
      </w:r>
      <w:r>
        <w:rPr>
          <w:sz w:val="28"/>
          <w:szCs w:val="28"/>
        </w:rPr>
        <w:t>, другой экземпляр передаётся заявителю.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3.4.7. Специалист Отдела составляет проект договора с заявителем, передаёт начальнику Отдела в день составления договора, который визирует данный договор и в течение 1 рабочего дня представляет данный договор на подпись уполномоченному Министерством лицу. 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3.4.7. Договор в течение 3 рабочих дней подписывается: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со стороны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– уполномоченным должностным лицом;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со стороны заявителя – заявителем или его представителем при наличии у него документов, подтверждающих полномочия на подписание договора.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3.4.8. </w:t>
      </w:r>
      <w:r>
        <w:rPr>
          <w:color w:val="000000"/>
          <w:sz w:val="28"/>
          <w:szCs w:val="28"/>
        </w:rPr>
        <w:t>При выдаче договоров специалист Отдела выдаёт один экземпляр договора обратившемуся заявителю либо его уполномоченному представителю под роспись в журнале регистрации заключенных договоров.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color w:val="000000"/>
          <w:sz w:val="28"/>
          <w:szCs w:val="28"/>
        </w:rPr>
        <w:t>3.4.9. При получении договора представителем заявителя в журнал регистрации заключенных договоров вносятся данные доверенности на получение договора, оформленной в установленном порядке. В этом случае в журнале регистрации расписывается лицо, получившее договор.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color w:val="000000"/>
          <w:sz w:val="28"/>
          <w:szCs w:val="28"/>
        </w:rPr>
        <w:t>Время ожидания в очереди не должно превышать 15 минут.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color w:val="000000"/>
          <w:sz w:val="28"/>
          <w:szCs w:val="28"/>
        </w:rPr>
        <w:t>3.4.10</w:t>
      </w:r>
      <w:r>
        <w:rPr>
          <w:sz w:val="28"/>
          <w:szCs w:val="28"/>
        </w:rPr>
        <w:t>. 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причинённых уклонением от заключения договора.</w:t>
      </w:r>
    </w:p>
    <w:p>
      <w:pPr>
        <w:pStyle w:val="style30"/>
        <w:widowControl/>
        <w:spacing w:after="0" w:before="0" w:line="115" w:lineRule="atLeast"/>
        <w:jc w:val="both"/>
      </w:pPr>
      <w:r>
        <w:rPr/>
      </w:r>
    </w:p>
    <w:p>
      <w:pPr>
        <w:pStyle w:val="style0"/>
        <w:spacing w:after="0" w:before="0" w:line="115" w:lineRule="atLeast"/>
        <w:jc w:val="center"/>
      </w:pPr>
      <w:r>
        <w:rPr>
          <w:b/>
          <w:sz w:val="28"/>
          <w:szCs w:val="28"/>
        </w:rPr>
        <w:t>4. Порядок и формы контроля за исполнением государственной функции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4.1. Текущий контроль за соблюдением административных процедур по исполнению государственной функции осуществляется специалистами отдела Средневолжского территориального управления Росрыболовства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4.2. Государственные гражданские служащие, замещающие должности государственной гражданской службы в Отделе, обеспечивают сохранность сведений, составляющих государственную, служебную, банковскую, налоговую и коммерческую тайну, ставших им известными при исполнении государственной функции, и несут установленную законодательством Российской Федерации ответственность за разглашение этих сведений.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color w:val="000000"/>
          <w:sz w:val="28"/>
          <w:szCs w:val="28"/>
        </w:rPr>
        <w:t>4.3. В должностных регламентах должностных лиц и сотрудников О</w:t>
      </w:r>
      <w:r>
        <w:rPr>
          <w:sz w:val="28"/>
          <w:szCs w:val="28"/>
        </w:rPr>
        <w:t>тдела</w:t>
      </w:r>
      <w:r>
        <w:rPr>
          <w:color w:val="000000"/>
          <w:sz w:val="28"/>
          <w:szCs w:val="28"/>
        </w:rPr>
        <w:t>, принимающих участие в исполнении государственной функции, должна быть предусмотрена персональная ответственность за соблюдение требований регламента.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4.4. Текущий контроль осуществляется путём проведения должностным лицом, ответственным за организацию работы по исполнению государственной функции, плановых и внеплановых проверок соблюдения и исполнения специалистами положений регламента, иных нормативных правовых актов Российской Федерации, устанавливающих требования к исполнению государственной функции. Проведение плановых проверок осуществляется постоянно в ходе исполнения административных процедур, предусмотренных регламентом, внеплановых - по мере поступления жалоб.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 xml:space="preserve">4.5. Специалисты отдела Средневолжского территориального управления Росрыболовства организуют и осуществляют контроль за исполнением государственной функции. 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Контроль за полнотой и качеством исполнения государственной функции включает в себя проведение проверок, выявление и устранение нарушений прав юридических лиц и граждан по рассмотрению, принятию решений и подготовке ответов на их обращения, содержащие жалобы на решения, действия (бездействия) должностных лиц структурного подразделения, ответственного за исполнение государственной функции.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По результатам проведённых проверок в случае выявления нарушений  прав юридических лиц и граждан, причинённых действиями (бездействиями) должностных лиц и решениями, принимаемыми ими в ходе исполнения государственной функции,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>
          <w:sz w:val="28"/>
          <w:szCs w:val="28"/>
        </w:rPr>
        <w:t>4.6.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специалистами Министерства требований настоящего Регламента, законов и иных нормативных правовых актов.</w:t>
      </w:r>
    </w:p>
    <w:p>
      <w:pPr>
        <w:pStyle w:val="style0"/>
        <w:spacing w:after="0" w:before="0" w:line="115" w:lineRule="atLeast"/>
        <w:ind w:firstLine="708" w:left="0" w:right="0"/>
        <w:jc w:val="both"/>
      </w:pPr>
      <w:r>
        <w:rPr/>
      </w:r>
    </w:p>
    <w:p>
      <w:pPr>
        <w:pStyle w:val="style0"/>
        <w:tabs>
          <w:tab w:leader="none" w:pos="720" w:val="left"/>
        </w:tabs>
        <w:spacing w:after="0" w:before="0" w:line="115" w:lineRule="atLeast"/>
        <w:jc w:val="center"/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>
      <w:pPr>
        <w:pStyle w:val="style0"/>
        <w:tabs>
          <w:tab w:leader="none" w:pos="720" w:val="left"/>
        </w:tabs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 xml:space="preserve">5.1. Заявитель (уполномоченный представитель) имеет право на обжалование решений, действий (бездействия) должностных лиц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во внесудебном порядке и (или) в суде. 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Жалобы на решения, действия (бездействие) должностных лиц, осуществляемые (принятые) в ходе исполнения государственной функции, рассматриваются в порядке, установленном настоящим разделом, в соответствии с законодательством Российской Федерации.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5.2. Заявитель (уполномоченный представитель) имеет право обратиться с жалобой лично, направить её в письменной форме или в форме электронного документа.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5.3. Должностные лица отдела Средневолжского территориального управления Росрыболовства, участвующие в исполнении государственной функции, проводят личный приём Заявителя (уполномоченного представителя) и рассматривают поступившие в устном порядке жалобы в ходе личного приёма. Содержание устной жалобы заносится в карточку личного приёма Заявителя (уполномоченного представителя). В случае, если изложенные в устной жалобе факты и обстоятельства являются очевидными и не требуют дополнительной проверки, должностное лицо, которое проводило приём Заявителя (уполномоченного представителя), с согласия Заявителя (уполномоченного представителя), даёт устный ответ на жалобу в ходе личного приёма, о чем делает запись в карточке личного приёма Заявителя (уполномоченного представителя). В остальных случаях даётся письменный ответ по существу поставленных в жалобе вопросов.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 xml:space="preserve">5.4. При обращении Заявителя (уполномоченного представителя) в письменной форме или в форме электронного документа с жалобой на действия должностных лиц в рамках осуществления конкретной административной процедуры (административного действия) жалоба рассматривается в течение 15 рабочих дней со дня регистрации обращения (жалобы). А в случае обжалования отказа Министерства, должностного лица Министерства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его регистрации. 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5.5. Жалоба Заявителя (уполномоченного представителя) в письменной форме или в форме электронного документа должна содержать следующую информацию:</w:t>
      </w:r>
    </w:p>
    <w:p>
      <w:pPr>
        <w:pStyle w:val="style0"/>
        <w:spacing w:after="0" w:before="0" w:line="115" w:lineRule="atLeast"/>
        <w:ind w:firstLine="709" w:left="0" w:right="0"/>
        <w:jc w:val="both"/>
      </w:pPr>
      <w:r>
        <w:rPr>
          <w:sz w:val="28"/>
          <w:szCs w:val="28"/>
        </w:rPr>
        <w:t xml:space="preserve">фамилию, имя, отчество </w:t>
      </w:r>
      <w:bookmarkStart w:id="0" w:name="__DdeLink__2807_194028298"/>
      <w:r>
        <w:rPr>
          <w:sz w:val="28"/>
          <w:szCs w:val="28"/>
        </w:rPr>
        <w:t xml:space="preserve">(последнее - при наличии) гражданина, который подаёт обращение, сведения о его месте жительства </w:t>
      </w:r>
      <w:bookmarkEnd w:id="0"/>
      <w:r>
        <w:rPr>
          <w:sz w:val="28"/>
          <w:szCs w:val="28"/>
        </w:rPr>
        <w:t>или месте нахождения, контактный номер, адрес электронной почты и почтовый адрес, по которым должен быть направлен ответ заявителю, либо наименование юридического лица, сведения о его месте нахождения, контактный номер, адрес электронной почты и почтовый адрес, по которым должен быть направлен ответ заявителю;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наименование государственного органа, в который направляется письменная жалоба, либо фамилию, имя, отчество соответствующего должностного лица, либо должность соответствующего лица;</w:t>
      </w:r>
    </w:p>
    <w:p>
      <w:pPr>
        <w:pStyle w:val="style0"/>
        <w:spacing w:after="0" w:before="0" w:line="115" w:lineRule="atLeast"/>
        <w:ind w:firstLine="720" w:left="0" w:right="0"/>
        <w:jc w:val="both"/>
      </w:pPr>
      <w:r>
        <w:rPr>
          <w:sz w:val="28"/>
          <w:szCs w:val="28"/>
        </w:rPr>
        <w:t>фамилия, имя отчество и должность лица решение, действие (бездействие) которого обжалуется;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суть обжалуемого решения, действия (бездействия) при исполнении конкретных административных процедур, установленных настоящим регламентом;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 xml:space="preserve">иные сведения, которые заявитель (уполномоченный представитель) считает необходимым сообщить. 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 xml:space="preserve">В случае необходимости в подтверждение своих доводов к жалобе прилагаются документы и материалы в электронной форме либо их копии в письменной форме. 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Заявитель (уполномоченный представитель) подписывает жалобу и ставит дату.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5.6. В случае, если в обращении не указаны фамилия заявителя (уполномоченного представителя), направившего обращение, и почтовый адрес (адрес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Обращение, в котором обжалуется судебное решение, в течение семи дней со дня его регистрации возвращается заявителю, направившему обращение, с разъяснением порядка обжалования данного судебного решения.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отдела Средневолжского территориального управления Росрыболовства вправе оставить обращение без ответа по существу поставленных в нем вопросов и сообщить заявителю (уполномоченному представителю), направившему обращение, о недопустимости злоупотребления правом.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В случае, если текст обращения не поддаётся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заявителю (уполномоченному представителю), направившему обращение, если его фамилия и почтовый адрес поддаются прочтению.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 xml:space="preserve">В случае, если в обращении заявителя (уполномоченного представителя)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должностные лица отдела Средневолжского территориального управления Росрыболовства вправе принять решение о безосновательности очередного обращения и прекращении переписки с заявителем (уполномоченным представителем) по данному вопросу при условии, что указанная жалоба и ранее направляемые жалобы направлялись в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или одному и тому же должностному лицу. О данном решении уведомляется заявитель (уполномоченный представитель), направивший обращение.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(уполномоченному представителю),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>
      <w:p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>5.7. Письменный ответ, содержащий результаты рассмотрения жалобы, направляется заявителю (уполномоченному представителю).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обращении.</w:t>
      </w:r>
    </w:p>
    <w:p>
      <w:pPr>
        <w:sectPr>
          <w:type w:val="nextPage"/>
          <w:pgSz w:h="16838" w:w="11906"/>
          <w:pgMar w:bottom="709" w:footer="0" w:gutter="0" w:header="0" w:left="1440" w:right="746" w:top="708"/>
          <w:pgNumType w:fmt="decimal"/>
          <w:formProt w:val="false"/>
          <w:titlePg/>
          <w:textDirection w:val="lrTb"/>
          <w:docGrid w:charSpace="-6145" w:linePitch="360" w:type="default"/>
        </w:sectPr>
        <w:pStyle w:val="style0"/>
        <w:spacing w:after="0" w:before="0" w:line="115" w:lineRule="atLeast"/>
        <w:ind w:firstLine="660" w:left="0" w:right="0"/>
        <w:jc w:val="both"/>
      </w:pPr>
      <w:r>
        <w:rPr>
          <w:sz w:val="28"/>
          <w:szCs w:val="28"/>
        </w:rPr>
        <w:t xml:space="preserve">5.8. Заявитель (уполномоченный представитель) вправе обжаловать решения, принятые в ходе исполнения государственной функции, действия (бездействие) должностного лица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в суд общей юрисдикции, арбитражный суд в установленном порядке в сроки, предусмотренные законодательством Российской Федерации».</w:t>
      </w:r>
    </w:p>
    <w:p>
      <w:pPr>
        <w:pStyle w:val="style0"/>
        <w:pageBreakBefore/>
        <w:spacing w:after="0" w:before="0" w:line="115" w:lineRule="atLeast"/>
      </w:pPr>
      <w:r>
        <w:rPr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30"/>
          <w:szCs w:val="30"/>
        </w:rPr>
        <w:t>Приложение 1</w:t>
      </w:r>
    </w:p>
    <w:p>
      <w:pPr>
        <w:pStyle w:val="style0"/>
        <w:spacing w:after="0" w:before="0" w:line="115" w:lineRule="atLeast"/>
      </w:pPr>
      <w:r>
        <w:rPr>
          <w:sz w:val="30"/>
          <w:szCs w:val="30"/>
        </w:rPr>
        <w:t xml:space="preserve">                                                                                                          </w:t>
      </w:r>
      <w:r>
        <w:rPr>
          <w:sz w:val="30"/>
          <w:szCs w:val="30"/>
        </w:rPr>
        <w:t>к регламенту</w:t>
      </w:r>
    </w:p>
    <w:p>
      <w:pPr>
        <w:pStyle w:val="style32"/>
        <w:widowControl/>
        <w:spacing w:after="0" w:before="0" w:line="115" w:lineRule="atLeast"/>
        <w:ind w:hanging="0" w:left="763" w:right="0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ЗАЯВКА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на получение квот добычи (вылова) водных биоресурсов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для осуществления промышленного рыболовства и организации 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любительского и спортивного рыболовства </w:t>
      </w:r>
    </w:p>
    <w:p>
      <w:pPr>
        <w:pStyle w:val="style32"/>
        <w:widowControl/>
        <w:spacing w:after="0" w:before="0" w:line="115" w:lineRule="atLeast"/>
        <w:jc w:val="center"/>
      </w:pPr>
      <w:r>
        <w:rPr/>
      </w:r>
    </w:p>
    <w:p>
      <w:pPr>
        <w:pStyle w:val="style32"/>
        <w:widowControl/>
        <w:numPr>
          <w:ilvl w:val="0"/>
          <w:numId w:val="1"/>
        </w:numPr>
        <w:tabs>
          <w:tab w:leader="none" w:pos="360" w:val="left"/>
          <w:tab w:leader="none" w:pos="708" w:val="left"/>
        </w:tabs>
        <w:spacing w:after="0" w:before="0" w:line="115" w:lineRule="atLeast"/>
        <w:ind w:hanging="720" w:left="0" w:right="0"/>
      </w:pPr>
      <w:r>
        <w:rPr>
          <w:rFonts w:ascii="Times New Roman" w:cs="Times New Roman" w:hAnsi="Times New Roman"/>
          <w:sz w:val="28"/>
          <w:szCs w:val="28"/>
        </w:rPr>
        <w:t>Заявитель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2"/>
          <w:szCs w:val="22"/>
        </w:rPr>
        <w:t xml:space="preserve">    </w:t>
      </w:r>
      <w:r>
        <w:rPr>
          <w:rFonts w:ascii="Times New Roman" w:cs="Times New Roman" w:hAnsi="Times New Roman"/>
          <w:sz w:val="22"/>
          <w:szCs w:val="22"/>
        </w:rPr>
        <w:t>(Для инд.предпринимателей - Ф.И.О. данные документа, удостоверяющего личность, почтовый адрес. Для  юр. лиц -  полное наименование, юридический адрес, почтовый адрес)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2. Номер контактного телефона _________________________________________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3. Факс, адрес электронной почты________________________________________</w:t>
      </w:r>
    </w:p>
    <w:p>
      <w:pPr>
        <w:pStyle w:val="style32"/>
        <w:widowControl/>
        <w:numPr>
          <w:ilvl w:val="0"/>
          <w:numId w:val="2"/>
        </w:numPr>
        <w:tabs>
          <w:tab w:leader="none" w:pos="1035" w:val="left"/>
          <w:tab w:leader="none" w:pos="1199" w:val="left"/>
          <w:tab w:leader="none" w:pos="1362" w:val="left"/>
        </w:tabs>
        <w:spacing w:after="0" w:before="0" w:line="115" w:lineRule="atLeast"/>
        <w:ind w:hanging="327" w:left="327" w:right="0"/>
      </w:pPr>
      <w:r>
        <w:rPr>
          <w:rFonts w:ascii="Times New Roman" w:cs="Times New Roman" w:hAnsi="Times New Roman"/>
          <w:sz w:val="30"/>
          <w:szCs w:val="30"/>
        </w:rPr>
        <w:t>ИНН:_________________________________________________________</w:t>
      </w:r>
    </w:p>
    <w:p>
      <w:pPr>
        <w:pStyle w:val="style32"/>
        <w:widowControl/>
        <w:numPr>
          <w:ilvl w:val="0"/>
          <w:numId w:val="2"/>
        </w:numPr>
        <w:tabs>
          <w:tab w:leader="none" w:pos="327" w:val="left"/>
          <w:tab w:leader="none" w:pos="708" w:val="left"/>
        </w:tabs>
        <w:spacing w:after="0" w:before="0" w:line="115" w:lineRule="atLeast"/>
        <w:ind w:hanging="1140" w:left="0" w:right="0"/>
      </w:pPr>
      <w:r>
        <w:rPr>
          <w:rFonts w:ascii="Times New Roman" w:cs="Times New Roman" w:hAnsi="Times New Roman"/>
          <w:sz w:val="30"/>
          <w:szCs w:val="30"/>
        </w:rPr>
        <w:t>Банковские реквизиты:__________________________________________</w:t>
      </w:r>
    </w:p>
    <w:p>
      <w:pPr>
        <w:pStyle w:val="style0"/>
        <w:spacing w:after="0" w:before="0" w:line="115" w:lineRule="atLeast"/>
        <w:jc w:val="both"/>
      </w:pPr>
      <w:r>
        <w:rPr/>
        <w:t xml:space="preserve">6. </w:t>
      </w:r>
      <w:r>
        <w:rPr>
          <w:sz w:val="30"/>
          <w:szCs w:val="30"/>
        </w:rPr>
        <w:t>Типы судов, орудия и способы добычи (вылова) водных биоресурсов.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2"/>
          <w:szCs w:val="22"/>
        </w:rPr>
        <w:t>________________________________________________________________________________________</w:t>
      </w:r>
    </w:p>
    <w:p>
      <w:pPr>
        <w:pStyle w:val="style32"/>
        <w:widowControl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2"/>
          <w:szCs w:val="22"/>
        </w:rPr>
        <w:t>________________________________________________________________________________________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7. Заявляемые объёмы квот и объёмы добычи (вылова) водных биологических ресурсов, район работ, планируемые сроки и координаты работ, связанных с изъятием водных биологических ресурсов:</w:t>
      </w:r>
    </w:p>
    <w:p>
      <w:pPr>
        <w:pStyle w:val="style30"/>
        <w:widowControl/>
        <w:spacing w:after="0" w:before="0" w:line="115" w:lineRule="atLeast"/>
        <w:ind w:hanging="0" w:left="0" w:right="0"/>
        <w:jc w:val="both"/>
      </w:pPr>
      <w:r>
        <w:rPr/>
      </w:r>
    </w:p>
    <w:tbl>
      <w:tblPr>
        <w:jc w:val="left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Ind w:type="dxa" w:w="-10"/>
      </w:tblPr>
      <w:tblGrid>
        <w:gridCol w:w="425"/>
        <w:gridCol w:w="2000"/>
        <w:gridCol w:w="2903"/>
        <w:gridCol w:w="2548"/>
        <w:gridCol w:w="2136"/>
      </w:tblGrid>
      <w:tr>
        <w:trPr>
          <w:trHeight w:hRule="atLeast" w:val="1554"/>
          <w:cantSplit w:val="true"/>
        </w:trPr>
        <w:tc>
          <w:tcPr>
            <w:tcW w:type="dxa" w:w="4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type="dxa" w:w="20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Вид водных</w:t>
              <w:br/>
              <w:t>биологических</w:t>
              <w:br/>
              <w:t>ресурсов</w:t>
              <w:br/>
            </w:r>
          </w:p>
        </w:tc>
        <w:tc>
          <w:tcPr>
            <w:tcW w:type="dxa" w:w="29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Заявляемые объёмы </w:t>
              <w:br/>
              <w:t xml:space="preserve">квот и объёмы добычи (вылова) водных </w:t>
              <w:br/>
              <w:t xml:space="preserve">биологических </w:t>
              <w:br/>
              <w:t>ресурсов (в тоннах)</w:t>
            </w:r>
          </w:p>
        </w:tc>
        <w:tc>
          <w:tcPr>
            <w:tcW w:type="dxa" w:w="254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Район работ </w:t>
              <w:br/>
              <w:t>(рыбопромыс-</w:t>
            </w:r>
          </w:p>
          <w:p>
            <w:pPr>
              <w:pStyle w:val="style30"/>
              <w:widowControl/>
              <w:spacing w:after="0" w:before="0" w:line="115" w:lineRule="atLeast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ловый участок)</w:t>
            </w:r>
          </w:p>
        </w:tc>
        <w:tc>
          <w:tcPr>
            <w:tcW w:type="dxa" w:w="213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tabs>
                <w:tab w:leader="none" w:pos="708" w:val="left"/>
                <w:tab w:leader="none" w:pos="1550" w:val="left"/>
                <w:tab w:leader="none" w:pos="1730" w:val="left"/>
              </w:tabs>
              <w:spacing w:after="0" w:before="0" w:line="115" w:lineRule="atLeast"/>
              <w:ind w:hanging="0" w:left="0" w:right="122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Планируемые </w:t>
              <w:br/>
              <w:t xml:space="preserve">сроки начала и </w:t>
              <w:br/>
              <w:t xml:space="preserve">окончания работ </w:t>
              <w:br/>
              <w:t xml:space="preserve">(число, месяц, </w:t>
              <w:br/>
              <w:t>год)</w:t>
            </w:r>
          </w:p>
        </w:tc>
      </w:tr>
      <w:tr>
        <w:trPr>
          <w:trHeight w:hRule="atLeast" w:val="569"/>
          <w:cantSplit w:val="true"/>
        </w:trPr>
        <w:tc>
          <w:tcPr>
            <w:tcW w:type="dxa" w:w="4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</w:pPr>
            <w:r>
              <w:rPr/>
            </w:r>
          </w:p>
        </w:tc>
        <w:tc>
          <w:tcPr>
            <w:tcW w:type="dxa" w:w="200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</w:pPr>
            <w:r>
              <w:rPr/>
            </w:r>
          </w:p>
        </w:tc>
        <w:tc>
          <w:tcPr>
            <w:tcW w:type="dxa" w:w="290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</w:pPr>
            <w:r>
              <w:rPr/>
            </w:r>
          </w:p>
        </w:tc>
        <w:tc>
          <w:tcPr>
            <w:tcW w:type="dxa" w:w="254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0"/>
            </w:pPr>
            <w:r>
              <w:rPr/>
            </w:r>
          </w:p>
        </w:tc>
        <w:tc>
          <w:tcPr>
            <w:tcW w:type="dxa" w:w="213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0"/>
              <w:widowControl/>
              <w:spacing w:after="0" w:before="0" w:line="115" w:lineRule="atLeast"/>
              <w:ind w:hanging="0" w:left="0" w:right="1325"/>
            </w:pPr>
            <w:r>
              <w:rPr/>
            </w:r>
          </w:p>
        </w:tc>
      </w:tr>
    </w:tbl>
    <w:p>
      <w:pPr>
        <w:pStyle w:val="style32"/>
        <w:widowControl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Дата                       Подпись заявителя</w:t>
      </w:r>
    </w:p>
    <w:p>
      <w:pPr>
        <w:pStyle w:val="style30"/>
        <w:widowControl/>
        <w:spacing w:after="0" w:before="0" w:line="115" w:lineRule="atLeast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Печать </w:t>
      </w:r>
    </w:p>
    <w:p>
      <w:pPr>
        <w:pStyle w:val="style30"/>
        <w:widowControl/>
        <w:spacing w:after="0" w:before="0" w:line="115" w:lineRule="atLeast"/>
        <w:ind w:firstLine="540" w:left="0" w:right="0"/>
        <w:jc w:val="both"/>
      </w:pPr>
      <w:r>
        <w:rPr/>
      </w:r>
    </w:p>
    <w:p>
      <w:pPr>
        <w:sectPr>
          <w:headerReference r:id="rId2" w:type="default"/>
          <w:type w:val="nextPage"/>
          <w:pgSz w:h="16838" w:w="11906"/>
          <w:pgMar w:bottom="709" w:footer="0" w:gutter="0" w:header="708" w:left="1440" w:right="746" w:top="765"/>
          <w:pgNumType w:fmt="decimal"/>
          <w:formProt w:val="false"/>
          <w:textDirection w:val="lrTb"/>
          <w:docGrid w:charSpace="-6145" w:linePitch="360" w:type="default"/>
        </w:sectPr>
        <w:pStyle w:val="style35"/>
        <w:spacing w:after="0" w:before="0" w:line="115" w:lineRule="atLeast"/>
        <w:jc w:val="center"/>
      </w:pPr>
      <w:r>
        <w:rPr/>
        <w:tab/>
      </w:r>
    </w:p>
    <w:p>
      <w:pPr>
        <w:pStyle w:val="style0"/>
        <w:pageBreakBefore/>
        <w:spacing w:after="0" w:before="0" w:line="115" w:lineRule="atLeast"/>
        <w:jc w:val="right"/>
      </w:pPr>
      <w:r>
        <w:rPr/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>Приложение 2</w:t>
      </w:r>
    </w:p>
    <w:p>
      <w:pPr>
        <w:pStyle w:val="style0"/>
        <w:spacing w:after="0" w:before="0" w:line="115" w:lineRule="atLeast"/>
        <w:jc w:val="right"/>
      </w:pPr>
      <w:r>
        <w:rPr>
          <w:sz w:val="28"/>
          <w:szCs w:val="28"/>
        </w:rPr>
        <w:t>к регламенту</w:t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ДОГОВОР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О ЗАКРЕПЛЕНИИ ДОЛЕЙ КВОТ ДОБЫЧИ (ВЫЛОВА) ВОДНЫХ БИОЛОГИЧЕСКИХ РЕСУРСОВ</w:t>
      </w:r>
    </w:p>
    <w:p>
      <w:pPr>
        <w:pStyle w:val="style32"/>
        <w:widowControl/>
        <w:spacing w:after="0" w:before="0" w:line="115" w:lineRule="atLeast"/>
        <w:jc w:val="center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/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г. Ульяновск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"__" ______________ 20   г.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16"/>
          <w:szCs w:val="16"/>
        </w:rPr>
        <w:t xml:space="preserve"> </w:t>
      </w:r>
    </w:p>
    <w:p>
      <w:pPr>
        <w:pStyle w:val="style32"/>
        <w:widowControl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  <w:t>Министерство лесного хозяйства, природопользования и экологии Ульяновской области</w:t>
      </w:r>
      <w:r>
        <w:rPr>
          <w:rFonts w:ascii="Times New Roman" w:cs="Times New Roman" w:hAnsi="Times New Roman"/>
          <w:sz w:val="28"/>
          <w:szCs w:val="28"/>
        </w:rPr>
        <w:t xml:space="preserve"> в лице Министра Федорова Д.В., действующего на основании Положения,</w:t>
      </w:r>
      <w:r>
        <w:rPr>
          <w:rFonts w:ascii="Times New Roman" w:cs="Times New Roman" w:hAnsi="Times New Roman"/>
          <w:sz w:val="16"/>
          <w:szCs w:val="16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именуемый в дальнейшем органом государственной власти, с одной стороны, и ___________________________________________________________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лице </w:t>
      </w:r>
      <w:r>
        <w:rPr>
          <w:rFonts w:ascii="Times New Roman" w:cs="Times New Roman" w:hAnsi="Times New Roman"/>
        </w:rPr>
        <w:t>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sz w:val="24"/>
          <w:szCs w:val="24"/>
          <w:u w:val="single"/>
        </w:rPr>
        <w:t>___________________________________________________________________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</w:rPr>
        <w:t>_________________________________________________________________________________________________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16"/>
          <w:szCs w:val="16"/>
        </w:rPr>
        <w:t xml:space="preserve"> </w:t>
      </w:r>
      <w:r>
        <w:rPr>
          <w:rFonts w:ascii="Times New Roman" w:cs="Times New Roman" w:hAnsi="Times New Roman"/>
          <w:sz w:val="16"/>
          <w:szCs w:val="16"/>
        </w:rPr>
        <w:t>(Ф.И.О. гражданина или лица, действующего от имени организации либо от имени индивидуального предпринимателя)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действующего на основании  </w:t>
      </w:r>
      <w:r>
        <w:rPr>
          <w:rFonts w:ascii="Times New Roman" w:cs="Times New Roman" w:hAnsi="Times New Roman"/>
          <w:u w:val="single"/>
        </w:rPr>
        <w:t>__</w:t>
      </w:r>
      <w:r>
        <w:rPr>
          <w:rFonts w:ascii="Times New Roman" w:cs="Times New Roman" w:hAnsi="Times New Roman"/>
          <w:sz w:val="28"/>
          <w:szCs w:val="28"/>
          <w:u w:val="single"/>
        </w:rPr>
        <w:t>________</w:t>
      </w:r>
      <w:r>
        <w:rPr>
          <w:rFonts w:ascii="Times New Roman" w:cs="Times New Roman" w:hAnsi="Times New Roman"/>
          <w:u w:val="single"/>
        </w:rPr>
        <w:t>_______________________________________________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16"/>
          <w:szCs w:val="16"/>
        </w:rPr>
        <w:t xml:space="preserve">                                                 </w:t>
      </w:r>
      <w:r>
        <w:rPr>
          <w:rFonts w:ascii="Times New Roman" w:cs="Times New Roman" w:hAnsi="Times New Roman"/>
          <w:sz w:val="16"/>
          <w:szCs w:val="16"/>
        </w:rPr>
        <w:t>(документ, удостоверяющий личность, доверенность и т.п.)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</w:rPr>
        <w:t>_________________________________________________________________________________________________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именуемый в дальнейшем юридическим лицом, с другой стороны, совместно именуемые Сторонами, на основании _________________________________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16"/>
          <w:szCs w:val="16"/>
        </w:rPr>
        <w:t>(реквизиты акта уполномоченного органа, на основании которого заключается договор)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>заключили настоящий договор о следующем:</w:t>
      </w:r>
    </w:p>
    <w:p>
      <w:pPr>
        <w:pStyle w:val="style32"/>
        <w:widowControl/>
        <w:spacing w:after="0" w:before="0" w:line="115" w:lineRule="atLeast"/>
        <w:jc w:val="center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I. Предмет договора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Согласно настоящему договору орган государственной власти, действующий в соответствии с законодательством Российской Федерации в области рыболовства и сохранения водных биологических ресурсов, предоставляет, а юридическое лицо или индивидуальный предприниматель приобретает право на добычу (вылов) водных биологических ресурсов в соответствии с долей квоты добычи (вылова) водных биологических ресурсов для осуществления промышленного рыболовства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</w:rPr>
        <w:t>____________________________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16"/>
          <w:szCs w:val="16"/>
        </w:rPr>
        <w:t>(вид рыболовства)</w:t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в  ___________________________________________________________________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16"/>
          <w:szCs w:val="16"/>
        </w:rPr>
        <w:t>(район добычи (вылова) водных биологических ресурсов</w:t>
      </w:r>
      <w:r>
        <w:rPr>
          <w:rFonts w:ascii="Times New Roman" w:cs="Times New Roman" w:hAnsi="Times New Roman"/>
          <w:sz w:val="28"/>
          <w:szCs w:val="28"/>
        </w:rPr>
        <w:t xml:space="preserve"> __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на                  </w:t>
      </w:r>
      <w:r>
        <w:rPr>
          <w:rFonts w:ascii="Times New Roman" w:cs="Times New Roman" w:hAnsi="Times New Roman"/>
          <w:sz w:val="28"/>
          <w:szCs w:val="28"/>
        </w:rPr>
        <w:t xml:space="preserve">в  размере: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              %; 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на                  </w:t>
      </w:r>
      <w:r>
        <w:rPr>
          <w:rFonts w:ascii="Times New Roman" w:cs="Times New Roman" w:hAnsi="Times New Roman"/>
          <w:sz w:val="28"/>
          <w:szCs w:val="28"/>
        </w:rPr>
        <w:t xml:space="preserve">в  размере: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              %; 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на                  </w:t>
      </w:r>
      <w:r>
        <w:rPr>
          <w:rFonts w:ascii="Times New Roman" w:cs="Times New Roman" w:hAnsi="Times New Roman"/>
          <w:sz w:val="28"/>
          <w:szCs w:val="28"/>
        </w:rPr>
        <w:t xml:space="preserve">в  размере: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             %; </w:t>
      </w:r>
    </w:p>
    <w:p>
      <w:pPr>
        <w:pStyle w:val="style32"/>
        <w:widowControl/>
        <w:spacing w:after="0" w:before="0" w:line="115" w:lineRule="atLeast"/>
      </w:pPr>
      <w:r>
        <w:rPr>
          <w:rFonts w:ascii="Times New Roman" w:cs="Times New Roman" w:hAnsi="Times New Roman"/>
          <w:sz w:val="16"/>
          <w:szCs w:val="16"/>
        </w:rPr>
        <w:t xml:space="preserve">    </w:t>
      </w:r>
      <w:r>
        <w:rPr>
          <w:rFonts w:ascii="Times New Roman" w:cs="Times New Roman" w:hAnsi="Times New Roman"/>
          <w:sz w:val="16"/>
          <w:szCs w:val="16"/>
        </w:rPr>
        <w:t>(вид водных биологических ресурсов)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16"/>
          <w:szCs w:val="16"/>
        </w:rPr>
        <w:t>(доля в процентах)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Промышленные квоты распределяются юридическому лицу или индивидуальному предпринимателю на каждый календарный год по соответствующему виду водных биологических ресурсов и району добычи (вылова) водных биологических ресурсов исходя из утвержденных в установленном порядке на этот год соответствующих видов квот добычи (вылова) водных биологических ресурсов и доли, закрепленной за юридическим лицом или индивидуальным предпринимателем.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II. Права и обязанности Сторон</w:t>
      </w:r>
    </w:p>
    <w:p>
      <w:pPr>
        <w:pStyle w:val="style32"/>
        <w:widowControl/>
        <w:spacing w:after="0" w:before="0" w:line="115" w:lineRule="atLeast"/>
        <w:ind w:firstLine="709" w:left="0" w:right="0"/>
      </w:pPr>
      <w:r>
        <w:rPr>
          <w:rFonts w:ascii="Times New Roman" w:cs="Times New Roman" w:hAnsi="Times New Roman"/>
          <w:sz w:val="28"/>
          <w:szCs w:val="28"/>
        </w:rPr>
        <w:t>3. Орган государственной власти: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а) ежегодно информирует о распределенных между юридическими лицами и индивидуальными предпринимателями и об утвержденных в установленном порядке соответствующих  видах  квот добычи (вылова) водных биологических ресурсов;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б) осуществляет контроль за освоением квот добычи (вылова) водных биологических ресурсов, распределенных юридическому лицу;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в) осуществляет контроль за соблюдением юридическим лицом правил рыболовства, иных норм законодательства Российской Федерации и условий настоящего договора;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г) осуществляет контроль за представлением юридическим лицом или индивидуальным предпринимателем статистической отчетности о добыче (вылове) ими водных биологических ресурсов.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Юридическое лицо или индивидуальный  предприниматель: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а) осуществляет добычу (вылов) водных биологических ресурсов на основании ежегодно распределяемых ему квот добычи (вылова) водных биологических ресурсов в соответствии с закрепленной настоящим договором долей с соблюдением правил рыболовства, иных норм законодательства Российской Федерации в области рыболовства и сохранения водных биологических ресурсов и условий настоящего договора;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б) приобретает право собственности на добытые (выловленные) водные биологические ресурсы и продукцию, полученную из них;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в) осуществляет добычу (вылов) водных биологических ресурсов в пределах тех объемов, сроков, районов и в отношении тех видов водных биологических ресурсов, которые указаны в разрешении на добычу (вылов) водных биологических ресурсов, в соответствии с законодательством Российской Федерации;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г) предоставляет в установленном порядке статистическую отчетность о добыче (вылове) водных биологических ресурсов и производстве рыбной продукции.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III. Срок действия договора</w:t>
      </w:r>
    </w:p>
    <w:p>
      <w:pPr>
        <w:pStyle w:val="style32"/>
        <w:widowControl/>
        <w:spacing w:after="0" w:before="0" w:line="115" w:lineRule="atLeast"/>
        <w:ind w:firstLine="709" w:left="0" w:right="0"/>
      </w:pPr>
      <w:r>
        <w:rPr>
          <w:rFonts w:ascii="Times New Roman" w:cs="Times New Roman" w:hAnsi="Times New Roman"/>
          <w:sz w:val="28"/>
          <w:szCs w:val="28"/>
        </w:rPr>
        <w:t>5. Срок действия настоящего договора – (до 20) лет.</w:t>
      </w:r>
    </w:p>
    <w:p>
      <w:pPr>
        <w:pStyle w:val="style32"/>
        <w:widowControl/>
        <w:spacing w:after="0" w:before="0" w:line="115" w:lineRule="atLeast"/>
        <w:ind w:firstLine="709" w:left="0" w:right="0"/>
      </w:pPr>
      <w:r>
        <w:rPr>
          <w:rFonts w:ascii="Times New Roman" w:cs="Times New Roman" w:hAnsi="Times New Roman"/>
          <w:sz w:val="28"/>
          <w:szCs w:val="28"/>
        </w:rPr>
        <w:t>Договор считается  заключенным с даты его подписания Сторонами.</w:t>
      </w:r>
    </w:p>
    <w:p>
      <w:pPr>
        <w:pStyle w:val="style32"/>
        <w:widowControl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IV. Порядок прекращения и расторжения договора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 Настоящий договор прекращается: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а) в связи с истечением срока его действия;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б) при отказе юридического лица или индивидуального предпринимателя, которому предоставлены в пользование водные биологические ресурсы, отнесенные к объектам рыболовства, от права на добычу (вылов) этих водных биологических ресурсов;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в) в связи с ликвидацией юридического лица или индивидуального предпринимателя, которому было предоставлено право на добычу (вылов) водных биологических ресурсов;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г) в иных случаях, предусмотренных  Гражданским кодексом Российской Федерации и другими федеральными законами.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7. Настоящий договор может быть расторгнут до истечения срока его действия по соглашению Сторон, либо в одностороннем порядке в случае нарушения требований, предусмотренных главой </w:t>
      </w:r>
      <w:r>
        <w:rPr>
          <w:rFonts w:ascii="Times New Roman" w:cs="Times New Roman" w:hAnsi="Times New Roman"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sz w:val="28"/>
          <w:szCs w:val="28"/>
        </w:rPr>
        <w:t xml:space="preserve"> настоящего договора.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8. Настоящий договор расторгается до окончания срока его действия по решению Министерства лесного хозяйства, природопользования и экологии Ульяновской области о принудительном прекращении права на добычу (вылов) водных биологических ресурсов в случае: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а) возникновения необходимости использования водных объектов для государственных нужд;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б) если добыча (вылов) водных биологических ресурсов, отнесенных к объектам рыболовства, осуществляется в течение 2 лет подряд в объёме менее 50 процентов промышленных квот;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в) если юридическое лицо или индивидуальный предприниматель, у которого имеется право на добычу (вылов) водных биологических ресурсов, в течение календарного года 2 раза или более нарушили правила рыболовства, в результате чего был причинен крупный ущерб водным биологическим ресурсам, исчисляемый в соответствии со статьёй 53 Федерального закона «О рыболовстве и сохранении водных биологических ресурсов».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V. Ответственность Сторон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/>
      </w:r>
    </w:p>
    <w:p>
      <w:pPr>
        <w:pStyle w:val="style32"/>
        <w:widowControl/>
        <w:spacing w:after="0" w:before="0" w:line="115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VI. Рассмотрение и урегулирование споров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11. Все споры и разногласия, которые могут возникнуть в связи с реализацией настоящего договора, Стороны будут стремиться решить путем переговоров.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12. В случае если споры и разногласия не могут быть решены путём переговоров, они подлежат разрешению в судебном порядке в соответствии с законодательством Российской Федерации.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/>
      </w:r>
    </w:p>
    <w:p>
      <w:pPr>
        <w:pStyle w:val="style32"/>
        <w:widowControl/>
        <w:spacing w:after="0" w:before="0" w:line="115" w:lineRule="atLeast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VII. Заключительные положения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13. Договор составлен в 2 экземплярах, имеющих одинаковую юридическую силу, по одному экземпляру для каждой из Сторон.</w:t>
      </w:r>
    </w:p>
    <w:p>
      <w:pPr>
        <w:pStyle w:val="style32"/>
        <w:widowControl/>
        <w:spacing w:after="0" w:before="0" w:line="115" w:lineRule="atLeast"/>
        <w:ind w:firstLine="709" w:left="0" w:right="0"/>
      </w:pPr>
      <w:r>
        <w:rPr>
          <w:rFonts w:ascii="Times New Roman" w:cs="Times New Roman" w:hAnsi="Times New Roman"/>
          <w:sz w:val="28"/>
          <w:szCs w:val="28"/>
        </w:rPr>
        <w:t>14. В случае изменения адресов и (или) реквизитов Сторон, та Сторона, у которой изменились адрес и (или) реквизиты обязана уведомить другую</w:t>
      </w:r>
    </w:p>
    <w:p>
      <w:pPr>
        <w:pStyle w:val="style32"/>
        <w:widowControl/>
        <w:spacing w:after="0" w:before="0" w:line="115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Сторону о таких изменениях в течение 3 рабочих дней в письменном виде. До получения уведомления все извещения, направленные с указанием предыдущего адреса и (или) реквизитов, считаются действительными.</w:t>
      </w:r>
    </w:p>
    <w:p>
      <w:pPr>
        <w:pStyle w:val="style32"/>
        <w:widowControl/>
        <w:spacing w:after="0" w:before="0" w:line="115" w:lineRule="atLeast"/>
        <w:jc w:val="center"/>
      </w:pPr>
      <w:r>
        <w:rPr/>
      </w:r>
    </w:p>
    <w:p>
      <w:pPr>
        <w:pStyle w:val="style32"/>
        <w:widowControl/>
        <w:spacing w:after="0" w:before="0" w:line="115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VIII. Адреса и реквизиты Сторон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Орган государственной власти:                      Пользователь:</w:t>
      </w:r>
    </w:p>
    <w:p>
      <w:pPr>
        <w:pStyle w:val="style32"/>
        <w:widowControl/>
        <w:tabs>
          <w:tab w:leader="none" w:pos="708" w:val="left"/>
          <w:tab w:leader="none" w:pos="5040" w:val="left"/>
        </w:tabs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  <w:t>Министерство лесного хозяйства</w:t>
      </w: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___________________________</w:t>
      </w:r>
    </w:p>
    <w:p>
      <w:pPr>
        <w:pStyle w:val="style32"/>
        <w:widowControl/>
        <w:tabs>
          <w:tab w:leader="none" w:pos="708" w:val="left"/>
          <w:tab w:leader="none" w:pos="5040" w:val="left"/>
        </w:tabs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  <w:t>природопользования и экологии</w:t>
      </w: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  <w:u w:val="single"/>
        </w:rPr>
        <w:t>___________________________</w:t>
      </w:r>
      <w:r>
        <w:rPr>
          <w:u w:val="single"/>
        </w:rPr>
        <w:t xml:space="preserve"> </w:t>
      </w:r>
    </w:p>
    <w:p>
      <w:pPr>
        <w:pStyle w:val="style32"/>
        <w:widowControl/>
        <w:tabs>
          <w:tab w:leader="none" w:pos="708" w:val="left"/>
          <w:tab w:leader="none" w:pos="5040" w:val="left"/>
        </w:tabs>
        <w:spacing w:after="0" w:before="0" w:line="115" w:lineRule="atLeast"/>
        <w:jc w:val="both"/>
      </w:pPr>
      <w:r>
        <w:rPr/>
        <w:t xml:space="preserve">            </w:t>
      </w:r>
      <w:r>
        <w:rPr>
          <w:sz w:val="16"/>
          <w:szCs w:val="16"/>
        </w:rPr>
        <w:t xml:space="preserve">(наименование)   </w:t>
      </w:r>
      <w:r>
        <w:rPr/>
        <w:t xml:space="preserve">                          </w:t>
      </w:r>
      <w:r>
        <w:rPr>
          <w:sz w:val="16"/>
          <w:szCs w:val="16"/>
        </w:rPr>
        <w:t>(наименование)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Юридический и почтовый адреса:            Юридический и почтовый адреса: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  <w:u w:val="single"/>
        </w:rPr>
        <w:t>____________________________</w:t>
      </w: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____________________________                                     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Банковские реквизиты:                             Банковские реквизиты: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ИНН                                                          ИНН 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КПП                                                          КПП 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л/счет                                                        л/счет 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р/счет                                                        р/счет 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БИК                                                           БИК</w:t>
      </w:r>
    </w:p>
    <w:p>
      <w:pPr>
        <w:pStyle w:val="style32"/>
        <w:widowControl/>
        <w:spacing w:after="0" w:before="0" w:line="115" w:lineRule="atLeast"/>
        <w:jc w:val="both"/>
      </w:pPr>
      <w:r>
        <w:rPr/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Должность лица, уполномоченного на    Должность лица, уполномоченного</w:t>
      </w:r>
    </w:p>
    <w:p>
      <w:pPr>
        <w:pStyle w:val="style32"/>
        <w:widowControl/>
        <w:tabs>
          <w:tab w:leader="none" w:pos="708" w:val="left"/>
          <w:tab w:leader="none" w:pos="5040" w:val="left"/>
        </w:tabs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подписание настоящего Договора            на подписание настоящего Договора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_____________   ___________________       ___________  _________________</w:t>
      </w:r>
    </w:p>
    <w:p>
      <w:pPr>
        <w:pStyle w:val="style32"/>
        <w:widowControl/>
        <w:spacing w:after="0" w:before="0" w:line="115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(подпись)             (Ф.И.О.)                         (подпись)            (Ф.И.О.)</w:t>
      </w:r>
    </w:p>
    <w:p>
      <w:pPr>
        <w:pStyle w:val="style32"/>
        <w:widowControl/>
        <w:spacing w:after="0" w:before="0" w:line="115" w:lineRule="atLeast"/>
        <w:jc w:val="both"/>
      </w:pPr>
      <w:r>
        <w:rPr/>
        <w:t xml:space="preserve">      </w:t>
      </w:r>
      <w:r>
        <w:rPr/>
        <w:t>М.П.                                           М.П.</w:t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p>
      <w:pPr>
        <w:pStyle w:val="style0"/>
        <w:spacing w:after="0" w:before="0" w:line="115" w:lineRule="atLeas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440" w:right="746" w:top="765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fldChar w:fldCharType="begin"/>
    </w:r>
    <w:r>
      <w:instrText> PAGE </w:instrText>
    </w:r>
    <w:r>
      <w:fldChar w:fldCharType="separate"/>
    </w:r>
    <w:r>
      <w:t>Номера страниц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fldChar w:fldCharType="begin"/>
    </w:r>
    <w:r>
      <w:instrText> PAGE </w:instrText>
    </w:r>
    <w:r>
      <w:fldChar w:fldCharType="separate"/>
    </w:r>
    <w:r>
      <w:t>Номера страниц</w:t>
    </w:r>
    <w:r>
      <w:fldChar w:fldCharType="end"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pos="1140" w:val="num"/>
        </w:tabs>
        <w:ind w:hanging="360" w:left="1140"/>
      </w:pPr>
    </w:lvl>
    <w:lvl w:ilvl="1">
      <w:start w:val="1"/>
      <w:numFmt w:val="lowerLetter"/>
      <w:lvlText w:val="%2."/>
      <w:lvlJc w:val="left"/>
      <w:pPr>
        <w:tabs>
          <w:tab w:pos="1860" w:val="num"/>
        </w:tabs>
        <w:ind w:hanging="360" w:left="1860"/>
      </w:pPr>
    </w:lvl>
    <w:lvl w:ilvl="2">
      <w:start w:val="1"/>
      <w:numFmt w:val="lowerRoman"/>
      <w:lvlText w:val="%2.%3."/>
      <w:lvlJc w:val="right"/>
      <w:pPr>
        <w:tabs>
          <w:tab w:pos="2580" w:val="num"/>
        </w:tabs>
        <w:ind w:hanging="180" w:left="2580"/>
      </w:pPr>
    </w:lvl>
    <w:lvl w:ilvl="3">
      <w:start w:val="1"/>
      <w:numFmt w:val="decimal"/>
      <w:lvlText w:val="%2.%3.%4."/>
      <w:lvlJc w:val="left"/>
      <w:pPr>
        <w:tabs>
          <w:tab w:pos="3300" w:val="num"/>
        </w:tabs>
        <w:ind w:hanging="360" w:left="3300"/>
      </w:pPr>
    </w:lvl>
    <w:lvl w:ilvl="4">
      <w:start w:val="1"/>
      <w:numFmt w:val="lowerLetter"/>
      <w:lvlText w:val="%2.%3.%4.%5."/>
      <w:lvlJc w:val="left"/>
      <w:pPr>
        <w:tabs>
          <w:tab w:pos="4020" w:val="num"/>
        </w:tabs>
        <w:ind w:hanging="360" w:left="4020"/>
      </w:pPr>
    </w:lvl>
    <w:lvl w:ilvl="5">
      <w:start w:val="1"/>
      <w:numFmt w:val="lowerRoman"/>
      <w:lvlText w:val="%2.%3.%4.%5.%6."/>
      <w:lvlJc w:val="right"/>
      <w:pPr>
        <w:tabs>
          <w:tab w:pos="4740" w:val="num"/>
        </w:tabs>
        <w:ind w:hanging="180" w:left="4740"/>
      </w:pPr>
    </w:lvl>
    <w:lvl w:ilvl="6">
      <w:start w:val="1"/>
      <w:numFmt w:val="decimal"/>
      <w:lvlText w:val="%2.%3.%4.%5.%6.%7."/>
      <w:lvlJc w:val="left"/>
      <w:pPr>
        <w:tabs>
          <w:tab w:pos="5460" w:val="num"/>
        </w:tabs>
        <w:ind w:hanging="360" w:left="5460"/>
      </w:pPr>
    </w:lvl>
    <w:lvl w:ilvl="7">
      <w:start w:val="1"/>
      <w:numFmt w:val="lowerLetter"/>
      <w:lvlText w:val="%2.%3.%4.%5.%6.%7.%8."/>
      <w:lvlJc w:val="left"/>
      <w:pPr>
        <w:tabs>
          <w:tab w:pos="6180" w:val="num"/>
        </w:tabs>
        <w:ind w:hanging="360" w:left="6180"/>
      </w:pPr>
    </w:lvl>
    <w:lvl w:ilvl="8">
      <w:start w:val="1"/>
      <w:numFmt w:val="lowerRoman"/>
      <w:lvlText w:val="%2.%3.%4.%5.%6.%7.%8.%9."/>
      <w:lvlJc w:val="right"/>
      <w:pPr>
        <w:tabs>
          <w:tab w:pos="6900" w:val="num"/>
        </w:tabs>
        <w:ind w:hanging="180" w:left="69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Верхний колонтитул Знак"/>
    <w:basedOn w:val="style15"/>
    <w:next w:val="style18"/>
    <w:rPr>
      <w:sz w:val="24"/>
      <w:szCs w:val="24"/>
    </w:rPr>
  </w:style>
  <w:style w:styleId="style19" w:type="character">
    <w:name w:val="Нижний колонтитул Знак"/>
    <w:basedOn w:val="style15"/>
    <w:next w:val="style19"/>
    <w:rPr>
      <w:sz w:val="24"/>
      <w:szCs w:val="24"/>
    </w:rPr>
  </w:style>
  <w:style w:styleId="style20" w:type="character">
    <w:name w:val="Символ нумерации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Lohit Devanagari" w:eastAsia="WenQuanYi Zen 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Lohit Devanagari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Devanagari"/>
    </w:rPr>
  </w:style>
  <w:style w:styleId="style26" w:type="paragraph">
    <w:name w:val="Заглавие"/>
    <w:basedOn w:val="style0"/>
    <w:next w:val="style27"/>
    <w:pPr>
      <w:suppressLineNumbers/>
      <w:spacing w:after="120" w:before="120"/>
      <w:jc w:val="center"/>
    </w:pPr>
    <w:rPr>
      <w:rFonts w:cs="Lohit Devanagari"/>
      <w:b/>
      <w:bCs/>
      <w:i/>
      <w:iCs/>
      <w:sz w:val="36"/>
      <w:szCs w:val="36"/>
    </w:rPr>
  </w:style>
  <w:style w:styleId="style27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index heading"/>
    <w:basedOn w:val="style0"/>
    <w:next w:val="style28"/>
    <w:pPr>
      <w:suppressLineNumbers/>
    </w:pPr>
    <w:rPr>
      <w:rFonts w:cs="Lohit Devanagari"/>
    </w:rPr>
  </w:style>
  <w:style w:styleId="style29" w:type="paragraph">
    <w:name w:val="Прижатый влево"/>
    <w:basedOn w:val="style0"/>
    <w:next w:val="style29"/>
    <w:pPr/>
    <w:rPr>
      <w:rFonts w:ascii="Arial" w:hAnsi="Arial"/>
      <w:sz w:val="20"/>
      <w:szCs w:val="20"/>
    </w:rPr>
  </w:style>
  <w:style w:styleId="style30" w:type="paragraph">
    <w:name w:val="ConsPlusNormal"/>
    <w:next w:val="style30"/>
    <w:pPr>
      <w:widowControl w:val="false"/>
      <w:tabs>
        <w:tab w:leader="none" w:pos="708" w:val="left"/>
      </w:tabs>
      <w:suppressAutoHyphens w:val="true"/>
      <w:spacing w:after="200" w:before="0" w:line="276" w:lineRule="auto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1" w:type="paragraph">
    <w:name w:val="ConsPlusTitle"/>
    <w:next w:val="style31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Arial" w:cs="Arial" w:eastAsia="Times New Roman" w:hAnsi="Arial"/>
      <w:b/>
      <w:bCs/>
      <w:color w:val="00000A"/>
      <w:sz w:val="20"/>
      <w:szCs w:val="20"/>
      <w:lang w:bidi="ar-SA" w:eastAsia="ru-RU" w:val="ru-RU"/>
    </w:rPr>
  </w:style>
  <w:style w:styleId="style32" w:type="paragraph">
    <w:name w:val="ConsPlusNonformat"/>
    <w:next w:val="style32"/>
    <w:pPr>
      <w:widowControl w:val="false"/>
      <w:tabs>
        <w:tab w:leader="none" w:pos="708" w:val="left"/>
      </w:tabs>
      <w:suppressAutoHyphens w:val="true"/>
      <w:spacing w:after="200" w:before="0" w:line="276" w:lineRule="auto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3" w:type="paragraph">
    <w:name w:val="Document Map"/>
    <w:basedOn w:val="style0"/>
    <w:next w:val="style33"/>
    <w:pPr>
      <w:shd w:fill="000080" w:val="clear"/>
    </w:pPr>
    <w:rPr>
      <w:rFonts w:ascii="Tahoma" w:cs="Tahoma" w:hAnsi="Tahoma"/>
      <w:sz w:val="20"/>
      <w:szCs w:val="20"/>
    </w:rPr>
  </w:style>
  <w:style w:styleId="style34" w:type="paragraph">
    <w:name w:val="Balloon Text"/>
    <w:basedOn w:val="style0"/>
    <w:next w:val="style34"/>
    <w:pPr/>
    <w:rPr>
      <w:rFonts w:ascii="Tahoma" w:cs="Tahoma" w:hAnsi="Tahoma"/>
      <w:sz w:val="16"/>
      <w:szCs w:val="16"/>
    </w:rPr>
  </w:style>
  <w:style w:styleId="style35" w:type="paragraph">
    <w:name w:val="Верхний колонтитул"/>
    <w:basedOn w:val="style0"/>
    <w:next w:val="style35"/>
    <w:pPr>
      <w:suppressLineNumbers/>
      <w:tabs>
        <w:tab w:leader="none" w:pos="4677" w:val="center"/>
        <w:tab w:leader="none" w:pos="9355" w:val="right"/>
      </w:tabs>
    </w:pPr>
    <w:rPr/>
  </w:style>
  <w:style w:styleId="style36" w:type="paragraph">
    <w:name w:val="Нижний колонтитул"/>
    <w:basedOn w:val="style0"/>
    <w:next w:val="style3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2013-09-19T12:59:00.00Z</dcterms:created>
  <dc:creator>KamilFB</dc:creator>
  <cp:lastModifiedBy>AlekseenkoNA</cp:lastModifiedBy>
  <cp:lastPrinted>2013-11-11T08:29:00.00Z</cp:lastPrinted>
  <dcterms:modified xsi:type="dcterms:W3CDTF">2013-11-11T08:37:00.00Z</dcterms:modified>
  <cp:revision>7</cp:revision>
  <dc:title>Утвержден</dc:title>
</cp:coreProperties>
</file>