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outlineLvl w:val="0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МИНИСТЕРСТВО АГРОПРОМЫШЛЕННОГО КОМПЛЕКСА </w:t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ConsPlusTitle"/>
        <w:jc w:val="center"/>
        <w:rPr>
          <w:rFonts w:ascii="PT Astra Serif" w:hAnsi="PT Astra Serif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</w:r>
    </w:p>
    <w:p>
      <w:pPr>
        <w:pStyle w:val="ConsPlusTitle"/>
        <w:jc w:val="center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ПРИКАЗ</w:t>
      </w:r>
    </w:p>
    <w:p>
      <w:pPr>
        <w:pStyle w:val="ConsPlusTitle"/>
        <w:jc w:val="center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от 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27.06.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201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9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 г.                                                                             № 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27</w:t>
      </w:r>
    </w:p>
    <w:p>
      <w:pPr>
        <w:pStyle w:val="ConsPlusTitle"/>
        <w:jc w:val="center"/>
        <w:rPr>
          <w:rFonts w:ascii="PT Astra Serif" w:hAnsi="PT Astra Serif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PT Astra Serif" w:hAnsi="PT Astra Serif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PT Astra Serif" w:hAnsi="PT Astra Serif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PT Astra Serif" w:hAnsi="PT Astra Serif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Об утверждении Административного регламента 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предоставления Министерством агропромышленного комплекса и развития сельских территорий Ульяновской области государственной услуги 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по предоставлению физическим и юридическим лицам информации,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содержащейся в торговом реестре Ульяновской области  </w:t>
      </w:r>
    </w:p>
    <w:p>
      <w:pPr>
        <w:pStyle w:val="ConsPlusNormal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ind w:left="0" w:right="0" w:hanging="0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В соответствии с Федеральным законом от 28.12.2009 № 381-ФЗ          «Об основах государственного регулирования торговой деятельности</w:t>
        <w:br/>
        <w:t>в Российской Федерации», Законом Ульяновской области от 30.11.2011         № 208-ЗО «О некоторых вопросах регулирования торговой деятельности      на территории Ульяновской области», п р и к а з ы в а ю:</w:t>
      </w:r>
    </w:p>
    <w:p>
      <w:pPr>
        <w:pStyle w:val="ConsPlusTitle"/>
        <w:numPr>
          <w:ilvl w:val="0"/>
          <w:numId w:val="0"/>
        </w:numPr>
        <w:ind w:firstLine="709"/>
        <w:outlineLvl w:val="0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1. Утвердить прилагаемый Административный </w:t>
      </w:r>
      <w:hyperlink w:anchor="P41">
        <w:r>
          <w:rPr>
            <w:rStyle w:val="ListLabel1"/>
            <w:rFonts w:cs="Times New Roman" w:ascii="PT Astra Serif" w:hAnsi="PT Astra Serif"/>
            <w:b w:val="false"/>
            <w:color w:val="000000"/>
            <w:sz w:val="28"/>
            <w:szCs w:val="28"/>
          </w:rPr>
          <w:t>регламент</w:t>
        </w:r>
      </w:hyperlink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 предос-тавления Министерством агропромышленного комплекса и развития сельских территорий Ульяновской области государственной услуги</w:t>
        <w:br/>
        <w:t>по предоставлению физическим и юридическим лицам информации,  содержащейся в торговом реестре Ульяновской области.</w:t>
      </w:r>
    </w:p>
    <w:p>
      <w:pPr>
        <w:pStyle w:val="ConsPlusNormal1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ConsPlusTitle"/>
        <w:jc w:val="center"/>
        <w:rPr>
          <w:rFonts w:ascii="PT Astra Serif" w:hAnsi="PT Astra Serif"/>
          <w:b w:val="false"/>
          <w:b w:val="false"/>
          <w:color w:val="000000"/>
          <w:sz w:val="28"/>
          <w:szCs w:val="28"/>
        </w:rPr>
      </w:pPr>
      <w:r>
        <w:rPr>
          <w:rFonts w:ascii="PT Astra Serif" w:hAnsi="PT Astra Serif"/>
          <w:b w:val="false"/>
          <w:color w:val="000000"/>
          <w:sz w:val="28"/>
          <w:szCs w:val="28"/>
        </w:rPr>
      </w:r>
    </w:p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tbl>
      <w:tblPr>
        <w:tblW w:w="95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00"/>
        <w:gridCol w:w="3679"/>
      </w:tblGrid>
      <w:tr>
        <w:trPr/>
        <w:tc>
          <w:tcPr>
            <w:tcW w:w="5900" w:type="dxa"/>
            <w:tcBorders/>
            <w:shd w:fill="auto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Заместитель Председателя Правительства Ульяновской области - Министр агропромышленного комплекса и развития сельских территорий  Ульяновской области</w:t>
            </w:r>
          </w:p>
          <w:p>
            <w:pPr>
              <w:pStyle w:val="ConsPlusNormal1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ConsPlusNormal1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ConsPlusNormal1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М.И.Семёнкин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1"/>
        <w:gridCol w:w="4809"/>
      </w:tblGrid>
      <w:tr>
        <w:trPr/>
        <w:tc>
          <w:tcPr>
            <w:tcW w:w="4761" w:type="dxa"/>
            <w:tcBorders/>
            <w:shd w:fill="auto" w:val="clear"/>
          </w:tcPr>
          <w:p>
            <w:pPr>
              <w:pStyle w:val="3"/>
              <w:spacing w:before="0" w:after="0"/>
              <w:jc w:val="right"/>
              <w:rPr>
                <w:rFonts w:ascii="PT Astra Serif" w:hAnsi="PT Astra Serif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4809" w:type="dxa"/>
            <w:tcBorders/>
            <w:shd w:fill="auto" w:val="clear"/>
          </w:tcPr>
          <w:p>
            <w:pPr>
              <w:pStyle w:val="3"/>
              <w:spacing w:lineRule="auto" w:line="36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  <w:t>УТВЕРЖДЁН</w:t>
            </w:r>
          </w:p>
          <w:p>
            <w:pPr>
              <w:pStyle w:val="3"/>
              <w:spacing w:before="0" w:after="0"/>
              <w:ind w:firstLine="9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  <w:t xml:space="preserve">приказом Министерства агропромышленного комплекса </w:t>
            </w:r>
          </w:p>
          <w:p>
            <w:pPr>
              <w:pStyle w:val="3"/>
              <w:spacing w:before="0" w:after="0"/>
              <w:ind w:firstLine="95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  <w:t>и развития сельских территорий Ульяновской области</w:t>
            </w:r>
          </w:p>
          <w:p>
            <w:pPr>
              <w:pStyle w:val="3"/>
              <w:tabs>
                <w:tab w:val="clear" w:pos="708"/>
                <w:tab w:val="left" w:pos="5387" w:leader="none"/>
              </w:tabs>
              <w:spacing w:before="0" w:after="0"/>
              <w:jc w:val="center"/>
              <w:rPr>
                <w:rFonts w:ascii="PT Astra Serif" w:hAnsi="PT Astra Serif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</w:r>
          </w:p>
          <w:p>
            <w:pPr>
              <w:pStyle w:val="3"/>
              <w:tabs>
                <w:tab w:val="clear" w:pos="708"/>
                <w:tab w:val="left" w:pos="5387" w:leader="none"/>
              </w:tabs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  <w:u w:val="single"/>
              </w:rPr>
              <w:t>27.06.2019</w:t>
            </w: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  <w:u w:val="single"/>
              </w:rPr>
              <w:t xml:space="preserve">27   </w:t>
            </w:r>
          </w:p>
          <w:p>
            <w:pPr>
              <w:pStyle w:val="3"/>
              <w:spacing w:before="0" w:after="0"/>
              <w:jc w:val="right"/>
              <w:rPr>
                <w:rFonts w:ascii="PT Astra Serif" w:hAnsi="PT Astra Serif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color w:val="000000"/>
                <w:sz w:val="28"/>
                <w:szCs w:val="28"/>
              </w:rPr>
            </w:r>
          </w:p>
        </w:tc>
      </w:tr>
    </w:tbl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spacing w:lineRule="auto" w:line="276"/>
        <w:ind w:left="0" w:right="0" w:hanging="0"/>
        <w:jc w:val="center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bookmarkStart w:id="0" w:name="P41"/>
      <w:bookmarkEnd w:id="0"/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АДМИНИСТРАТИВНЫЙ РЕГЛАМЕНТ</w:t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предоставления Министерством агропромышленного комплекса и развития сельских территорий Ульяновской области государственной услуги </w:t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по предоставлению физическим и юридическим лицам информации,</w:t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содержащейся в торговом реестре Ульяновской области  </w:t>
      </w:r>
    </w:p>
    <w:p>
      <w:pPr>
        <w:pStyle w:val="ConsPlusNormal1"/>
        <w:spacing w:lineRule="auto" w:line="276"/>
        <w:ind w:left="0" w:right="0" w:hanging="0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 Общие положения</w:t>
      </w:r>
    </w:p>
    <w:p>
      <w:pPr>
        <w:pStyle w:val="ConsPlusNormal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both"/>
        <w:outlineLvl w:val="0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ab/>
        <w:t>1.1. Предмет регулирования Административного регламента предоставления Министерством агропромышленного комплекса и развития сельских территорий Ульяновской области государственной услуги              по предоставлению физическим и юридическим лицам информации, содержащейся в торговом реестре Ульяновской области (далее – Административный регламент).</w:t>
      </w:r>
    </w:p>
    <w:p>
      <w:pPr>
        <w:pStyle w:val="ConsPlusNormal1"/>
        <w:spacing w:lineRule="auto" w:line="276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Административный регламент разработан в целях повышения качества предоставления государственной услуги по предоставлению физическим        и юридическим лицам информации, содержащейся в торговом реестре Ульяновской области (далее  – государственная услуга), доступности            её результата и устанавливает порядок информирования о предоставлении государственной услуги,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государственной услуги, порядок обжалования действий (бездействия) должностных лиц Министерства агропромышленного комплекса и развития сельских территорий Ульяновской области  (далее – Министерство) при предоставлении государственной услуги.</w:t>
      </w:r>
    </w:p>
    <w:p>
      <w:pPr>
        <w:pStyle w:val="ConsPlusNormal1"/>
        <w:spacing w:lineRule="auto" w:line="276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1.2. Описание заявителей.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Заявителями являются</w:t>
      </w:r>
      <w:r>
        <w:rPr>
          <w:rFonts w:ascii="PT Astra Serif" w:hAnsi="PT Astra Serif"/>
          <w:color w:val="000000"/>
          <w:sz w:val="28"/>
          <w:szCs w:val="28"/>
        </w:rPr>
        <w:t xml:space="preserve"> юридические лица, индивидуальные предприниматели и физические лица, если федеральными законами               не установлены ограничения предоставления информации, содержащейся          в торговом реестре Ульяновской области (далее – заявители), или лица, наделённые полномочиями выступать от имени заявителей при взаимодействии с Министерством при предоставлении государственной услуги в порядке, установленном законодательством Российской Федерации, законодательством Ульяновской области.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Полномочия представителей, выступающих от имени хозяйствующих субъектов, подтверждаются доверенностью, оформленной в соответствии       с требованиями законодательства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Style w:val="FontStyle44"/>
          <w:rFonts w:ascii="PT Astra Serif" w:hAnsi="PT Astra Serif"/>
          <w:color w:val="000000"/>
          <w:sz w:val="28"/>
          <w:szCs w:val="28"/>
        </w:rPr>
        <w:t xml:space="preserve">1.3.1. </w:t>
      </w:r>
      <w:r>
        <w:rPr>
          <w:rFonts w:ascii="PT Astra Serif" w:hAnsi="PT Astra Serif"/>
          <w:sz w:val="28"/>
          <w:szCs w:val="28"/>
        </w:rPr>
        <w:t>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                    в информационно-телекоммуникационной сети «Интернет» (далее – официальный сайт), с использованием федеральной государственной информационной системы «Единый портал государственных                           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Информирование о порядке предоставления государственной услуги осуществляется Министерством: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путём размещения информации на информационных стендах                  в помещении Министерства;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телефону;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путём направления ответов на письменные запросы;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 xml:space="preserve">посредством направления текстовых сообщений, передаваемых                 по каналам связи (электронная почта, факс, интерактивные сервисы официального сайта Министерства ( </w:t>
      </w:r>
      <w:hyperlink r:id="rId2">
        <w:r>
          <w:rPr>
            <w:rStyle w:val="Style16"/>
            <w:rFonts w:ascii="PT Astra Serif" w:hAnsi="PT Astra Serif"/>
            <w:color w:val="000000"/>
            <w:sz w:val="28"/>
            <w:szCs w:val="28"/>
          </w:rPr>
          <w:t>http://www.agro-ul.ru</w:t>
        </w:r>
      </w:hyperlink>
      <w:r>
        <w:rPr>
          <w:rFonts w:ascii="PT Astra Serif" w:hAnsi="PT Astra Serif"/>
          <w:color w:val="000000"/>
          <w:sz w:val="28"/>
          <w:szCs w:val="28"/>
        </w:rPr>
        <w:t>);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>путём размещения информации на Едином портале (https://www.gosuslugi.ru/), Региональном портале (</w:t>
      </w:r>
      <w:hyperlink r:id="rId3">
        <w:r>
          <w:rPr>
            <w:rStyle w:val="Style16"/>
            <w:rFonts w:ascii="PT Astra Serif" w:hAnsi="PT Astra Serif"/>
            <w:sz w:val="28"/>
            <w:szCs w:val="28"/>
          </w:rPr>
          <w:t>https://pgu.ulregion.ru/</w:t>
        </w:r>
      </w:hyperlink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момента подачи запроса заявитель имеет право на получение сведений о ходе предоставления государственной услуги по телефону,               на личном приёме, а также с использованием электронной почты Министерства.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– многофункциональные центры).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1.3.2.1. На официальном сайте Министерства, а также на Едином портале, Региональном портале размещена следующая справочная информация: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место нахождения и график работы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справочные телефоны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ОГКУ «Правительство для граждан», в том числе номер телефона-автоинформатора.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официального сайта, адрес электронной почты и (или) формы обратной связи Министерства, органов государственной власти, участвующих в предоставлении государственной услуги, ОГКУ «Правительство для граждан».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         и функционален.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1.3.2.2.</w:t>
      </w:r>
      <w:r>
        <w:rPr>
          <w:rFonts w:ascii="PT Astra Serif" w:hAnsi="PT Astra Serif"/>
          <w:sz w:val="28"/>
          <w:szCs w:val="28"/>
        </w:rPr>
        <w:t xml:space="preserve"> На информационных стендах ОГКУ «Правительство для граждан» в секторе информирования и ожидания </w:t>
      </w:r>
      <w:r>
        <w:rPr>
          <w:rFonts w:ascii="PT Astra Serif" w:hAnsi="PT Astra Serif"/>
          <w:bCs/>
          <w:sz w:val="28"/>
          <w:szCs w:val="28"/>
        </w:rPr>
        <w:t xml:space="preserve">или в секторе приёма заявителей </w:t>
      </w:r>
      <w:r>
        <w:rPr>
          <w:rFonts w:ascii="PT Astra Serif" w:hAnsi="PT Astra Serif"/>
          <w:sz w:val="28"/>
          <w:szCs w:val="28"/>
        </w:rPr>
        <w:t>размещается актуальная и исчерпывающая информация, которая содержит, в том числе: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режим работы и адреса многофункциональных центров в Ульяновской области;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справочные телефоны;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официального сайта, адрес электронной почты;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2. Стандарт предоставления государственной услуги</w:t>
      </w:r>
    </w:p>
    <w:p>
      <w:pPr>
        <w:pStyle w:val="ConsPlusNormal1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2.1. Наименование государственной услуги – предоставление физическим и юридическим лицам информации, содержащейся в торговом реестре Ульяновской области.</w:t>
      </w:r>
    </w:p>
    <w:p>
      <w:pPr>
        <w:pStyle w:val="ConsPlusNormal1"/>
        <w:ind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2.2. Государственная услуга предоставляется Министерством.</w:t>
      </w:r>
    </w:p>
    <w:p>
      <w:pPr>
        <w:pStyle w:val="ConsPlusNormal1"/>
        <w:ind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2.3. Результатом предоставления государственной услуги является: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предоставление информации, содержащейся в торговом реестре Ульяновской области. 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Государственная услуга предоставляется в форме информационного письма, содержащего информацию из торгового реестра.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В случае отсутствия  информации, содержащейся в торговом реестре Ульяновской области информационного письма об отсутствии такой   информации  в торговом реестре Ульяновской области.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2.4. Срок предоставления государственной услуги.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Предоставление содержащейся в торговом реестре Ульяновской области информации осуществляется в течение 5 рабочих дней со дня получения запроса от заявителя.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2.5. </w:t>
      </w:r>
      <w:r>
        <w:rPr>
          <w:rFonts w:ascii="PT Astra Serif" w:hAnsi="PT Astra Serif"/>
          <w:sz w:val="28"/>
          <w:szCs w:val="28"/>
        </w:rPr>
        <w:t>Правовые основания для предоставления государственной услуги</w:t>
      </w:r>
      <w:r>
        <w:rPr>
          <w:rFonts w:ascii="PT Astra Serif" w:hAnsi="PT Astra Serif"/>
          <w:bCs/>
          <w:sz w:val="28"/>
          <w:szCs w:val="28"/>
        </w:rPr>
        <w:t>.</w:t>
      </w:r>
    </w:p>
    <w:p>
      <w:pPr>
        <w:pStyle w:val="Normal"/>
        <w:spacing w:before="0" w:after="0"/>
        <w:ind w:firstLine="700"/>
        <w:jc w:val="both"/>
        <w:rPr/>
      </w:pPr>
      <w:r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государственной услуги, (с указанием их реквизитов               и источников официального опубликования) размещён на официальном сайте, на Едином портале и Региональном портале.</w:t>
      </w:r>
    </w:p>
    <w:p>
      <w:pPr>
        <w:pStyle w:val="Normal"/>
        <w:spacing w:before="0" w:after="0"/>
        <w:ind w:firstLine="700"/>
        <w:jc w:val="both"/>
        <w:rPr/>
      </w:pPr>
      <w:r>
        <w:rPr>
          <w:rFonts w:ascii="PT Astra Serif" w:hAnsi="PT Astra Serif"/>
          <w:bCs/>
          <w:sz w:val="28"/>
          <w:szCs w:val="28"/>
        </w:rPr>
        <w:t xml:space="preserve">2.6. </w:t>
      </w:r>
      <w:r>
        <w:rPr>
          <w:rFonts w:ascii="PT Astra Serif" w:hAnsi="PT Astra Serif"/>
          <w:sz w:val="28"/>
          <w:szCs w:val="28"/>
        </w:rPr>
        <w:t>Исчерпывающий перечень документов, необходимых                       в соответствии с законодательными или иными нормативными правовыми актами для предоставления государственной услуги.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Письменный запрос в адрес Министерства, оформленный                        в произвольной форме и содержащий: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информацию о заявителе (для физического лица - фамилию, имя, отчество (последнее – при наличии), для юридического лица – наименование организации, фамилию, имя, отчество (последнее – при наличии) руководителя либо лица, действующего по доверенности, реквизиты доверенности);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почтовый или электронный адрес, по которому должен быть направлен ответ, контактный телефон;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содержание запроса;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подпись и дату.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В случае если от имени заявителя обращается лицо, действующее        по доверенности, к запросу о предоставлении государственной услуги прикладывается копия доверенности, заверенная подписью руководителя юридического лица и печатью (при наличии печати).</w:t>
      </w:r>
    </w:p>
    <w:p>
      <w:pPr>
        <w:pStyle w:val="Default"/>
        <w:ind w:firstLine="700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Документы могут быть представлены заявителем лично на бумажном носителе в Министерство.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2.7. Исчерпывающий перечень оснований для отказа в приёме документов, необходимых для предоставления государственной услуги.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Основания для отказа в приёме документов, необходимых                   для предоставления государственной услуги отсутствуют.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2.8.2. Основания для отказа в предоставлении государственной услуги отсутствуют.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2.9. Размер платы, взимаемой с заявителя при предоставлении государственной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2.10. Максимальный срок ожидания в очереди при подаче запроса          о предоставлении государственной услуги и при получении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Максимальный срок ожидания в очереди при подаче запроса                   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2.11. Срок регистрации запроса заявителя о предоставлении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 о предоставлении государственной услуги регистрируется     в течение одного рабочего дня с момента поступления в Министерство.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2.12. </w:t>
      </w:r>
      <w:r>
        <w:rPr>
          <w:rFonts w:ascii="PT Astra Serif" w:hAnsi="PT Astra Serif"/>
          <w:bCs/>
          <w:sz w:val="28"/>
          <w:szCs w:val="28"/>
        </w:rPr>
        <w:t>Требования к помещениям, в которых предоставляются государственные услуги, к залу ожидания, местам для заполнения запросов    о предоставлении государственной услуги, информационным стендам            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                       с законодательством Российской Федерации о социальной защите инвалидов.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2.12.1. Помещения, предназначенные для ознакомления заявителей         с информационными материалами, оборудуются информационными стендами.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обеспечивающими беспрепятственное передвижение и разворот инвалидных колясок.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номера кабинета;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фамилии, имени, отчества (при наличии) и должности специалиста, предоставляющего государственную услугу;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графика работы.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>2.12.3. Места ожидания в очереди на представление или получение документов оборудованы стульями, места для заполнения запросов                о предоставлении государственной услуги оборудованы столами,  стульями, обеспечены канцелярскими принадлежностями, справочно–информационным материалом.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2.13. Показатели доступности и качества государственных услуг: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транспортная доступность к местам предоставления государственной услуги;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обеспечение беспрепятственного доступа заявителей к помещениям, в которых предоставляется государственная услуга;</w:t>
      </w:r>
    </w:p>
    <w:p>
      <w:pPr>
        <w:pStyle w:val="Normal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размещение информации о порядке предоставления государственной услуги на официальном сайте Министерства, </w:t>
      </w:r>
      <w:r>
        <w:rPr>
          <w:rFonts w:ascii="PT Astra Serif" w:hAnsi="PT Astra Serif"/>
          <w:bCs/>
          <w:sz w:val="28"/>
          <w:szCs w:val="28"/>
        </w:rPr>
        <w:t>на Едином портале</w:t>
      </w:r>
      <w:r>
        <w:rPr>
          <w:rFonts w:ascii="PT Astra Serif" w:hAnsi="PT Astra Serif"/>
          <w:sz w:val="28"/>
          <w:szCs w:val="28"/>
        </w:rPr>
        <w:t xml:space="preserve">                      и Региональном портале;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соблюдение порядка предоставления государственной услуги;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отсутствие поданных в установленном порядке жалоб на решения      и действия (бездействие), принятые и осуществлённые при предоставлении государственной услуги;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>е) количество взаимодействий заявителя с должностными лицами при получении государственной услуги – не более двух, общей  продолжительностью – не более 20 минут;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>ж) наличие возможности заявителя оценить качество предоставления государственной услуги (заполнение анкеты в ОГКУ «Правительство для граждан», в информационно-телекоммуникационной сети «Интернет», специализированный сайт «Ваш контроль» (</w:t>
      </w:r>
      <w:hyperlink r:id="rId4">
        <w:r>
          <w:rPr>
            <w:rStyle w:val="Style16"/>
            <w:rFonts w:ascii="PT Astra Serif" w:hAnsi="PT Astra Serif"/>
            <w:sz w:val="28"/>
            <w:szCs w:val="28"/>
          </w:rPr>
          <w:t>https://vashkontrol.ru/</w:t>
        </w:r>
      </w:hyperlink>
      <w:r>
        <w:rPr>
          <w:rFonts w:ascii="PT Astra Serif" w:hAnsi="PT Astra Serif"/>
          <w:sz w:val="28"/>
          <w:szCs w:val="28"/>
        </w:rPr>
        <w:t>)).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2.14. Иные требования, в том числе учитывающие особенности предоставления государственных услуг в многофункциональных центрах       и особенности предоставления государственных услуг в электронной форме.</w:t>
      </w:r>
    </w:p>
    <w:p>
      <w:pPr>
        <w:pStyle w:val="Normal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Государственная услуга в электронной форме предоставляется в части информирования заявителя о порядке предоставления государственной услуги.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услуги), участие в предоставлении государственной услуги не принимают.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3. Состав, последовательность и сроки выполнения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административных процедур, требования к порядку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их выполнения, в том числе особенности выполнения</w:t>
      </w:r>
    </w:p>
    <w:p>
      <w:pPr>
        <w:pStyle w:val="ConsPlusNormal1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административных процедур в электронной форме, </w:t>
      </w:r>
    </w:p>
    <w:p>
      <w:pPr>
        <w:pStyle w:val="ConsPlusNormal1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а также особенности выполнения административных процедур </w:t>
      </w:r>
    </w:p>
    <w:p>
      <w:pPr>
        <w:pStyle w:val="ConsPlusNormal1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в многофункциональных центрах предоставления государственных 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и муниципальных услуг  </w:t>
      </w:r>
    </w:p>
    <w:p>
      <w:pPr>
        <w:pStyle w:val="ConsPlusNormal1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(далее – многофункциональные центры)</w:t>
      </w:r>
    </w:p>
    <w:p>
      <w:pPr>
        <w:pStyle w:val="ConsPlusNormal1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3.1. Исчерпывающие перечни административных процедур.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3.1.1. Исчерпывающий перечень административных процедур предоставления государственной услуги в Министерстве.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В части предоставления информации, содержащейся в торговом реестре Ульяновской области: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1) приём и регистрация, необходимых для предоставления государственной услуги;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2) оформление уведомления о готовности результата, выдача (направление) результата предоставления государственной услуги.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3.1.2.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 xml:space="preserve"> в электронной форме, в том числе     с использованием Единого портала, Регионального портала, в соответствии    с положениями статьи 10 Федерального закона от 27.07.2010 № 210-ФЗ        «Об организации предоставления государственных и муниципальных услуг»: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предоставление в установленном порядке информации заявителям    и обеспечение доступа заявителей к сведениям о государственных услугах: осуществляется в соответствии с подпунктом 1.3.1 пункта 1.3   Административного регламента;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подача запроса о предоставлении государственной услуги и иных документов, необходимых для предоставления государственной услуги,         и приём такого запроса о предоставлении государственной услуги                  и документов исполнительным органом государственной власти, либо подведомственной государственному органу организацией, участвующей       в предоставлении государственной услуги, с использованием информационно - коммуникационной системы, в том числе Единого портала и (или) Регионального портала: не осуществляется;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получение заявителем сведений о ходе выполнения запроса               о предоставлении государственной услуги: не осуществляется;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4) взаимодействие исполнительных органов государственной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услуг: не осуществляется;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получение заявителем результата предоставления государственной услуги, если иное не установлено федеральным законом: не осуществляется;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3.1.3. Исчерпывающий перечень административных процедур предоставления государственной услуги в ОГКУ «Правительство                 для граждан»: не предоставляется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3.1.4.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>1) приём и регистрация заявления и документов, необходимых для исправления допущенных опечаток и (или) ошибок осуществляется в порядке, установленном пунктом 3.3;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>2) рассмотрение поступивших документов, оформление информации      и  уведомление о готовности результата и выдача (направление) после исправления допущенных опечаток и (или) ошибок в порядке, установленном пунктом 3.4.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3.2. Порядок выполнения административных процедур при предоставлении государственной услуги в Министерстве.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>Должностным лицом, ответственным за выполнение административных процедур, предусмотренных настоящим  Административным регламентом, в Министерстве является главный специалист департамента растениеводства, механизации и химизации Министерства (далее – специалист).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3.2.1. Предоставление государственной услуги 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1) приём и регистрация заявления и документов, необходимых           для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bookmarkStart w:id="1" w:name="__DdeLink__277_975272109"/>
      <w:r>
        <w:rPr>
          <w:rFonts w:ascii="PT Astra Serif" w:hAnsi="PT Astra Serif"/>
          <w:bCs/>
          <w:color w:val="000000"/>
          <w:sz w:val="28"/>
          <w:szCs w:val="28"/>
        </w:rPr>
        <w:t>Основанием для начала административной процедуры</w:t>
      </w:r>
      <w:bookmarkEnd w:id="1"/>
      <w:r>
        <w:rPr>
          <w:rFonts w:ascii="PT Astra Serif" w:hAnsi="PT Astra Serif"/>
          <w:bCs/>
          <w:color w:val="000000"/>
          <w:sz w:val="28"/>
          <w:szCs w:val="28"/>
        </w:rPr>
        <w:t xml:space="preserve"> является обращение заявителя в Министерство с заявлением необходимым                для предоставления государственной услуги 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>Заявление подаётся в свободной форме  рукописным (разборчиво) или машинописным способом и подписывается заявителем.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 xml:space="preserve">Специалист регистрирует заявление.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ab/>
        <w:t>Результатом административной процедуры является внесение специалистом записи о регистрации заявления в журнал регистрации заявлений.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>Максимальный срок выполнения административной процедуры составляет 1 ( один) рабочий день.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ab/>
        <w:t>2) уведомление о готовности результата, выдача (направление)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ab/>
        <w:t xml:space="preserve">Основанием для начала административной процедуры является зарегистрированное заявление.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Результатом предоставления государственной услуги является:</w:t>
      </w:r>
    </w:p>
    <w:p>
      <w:pPr>
        <w:pStyle w:val="ConsPlusNormal1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предоставление информации, содержащейся в торговом реестре Ульяновской области. </w:t>
      </w:r>
    </w:p>
    <w:p>
      <w:pPr>
        <w:pStyle w:val="ConsPlusNormal1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Государственная услуга предоставляется в форме информационного письма, содержащего информацию из торгового реестра.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ab/>
        <w:t>В случае отсутствия  информации, содержащейся в торговом реестре Ульяновской области информационного письма об отсутствии такой   информации в торговом реестре Ульяновской области.</w:t>
      </w:r>
    </w:p>
    <w:p>
      <w:pPr>
        <w:pStyle w:val="ConsPlusNormal1"/>
        <w:numPr>
          <w:ilvl w:val="0"/>
          <w:numId w:val="0"/>
        </w:numPr>
        <w:spacing w:lineRule="auto" w:line="276" w:before="0" w:after="0"/>
        <w:ind w:left="0" w:right="0" w:hanging="0"/>
        <w:jc w:val="both"/>
        <w:outlineLvl w:val="1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ab/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>Должностными лицами, ответственными за выполнение административных процедур, являются должностные лица департамента лицензирования, пищевой и перерабатывающей промышленности Министерства.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>3.3. Порядок исправления допущенных опечаток и (или) ошибок           в выданных в результате предоставления государственной услуги документах.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>1) приём и регистрация заявления и документов, необходимых для исправления допущенных опечаток и (или) ошибок.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  <w:t>Основанием для начала административной процедуры является обращение заявителя в  Министерство с заявлением об исправлении   допущенных опечаток и (или) ошибок в сведениях, указанных                          в  информации, содержащейся в торговом реестре Ульяновской области.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ab/>
        <w:t>При обращении за исправлением допущенных опечаток и (или) ошибок в информации заявитель представляет заявление об исправлении допущенных опечаток и (или) ошибок.</w:t>
      </w:r>
    </w:p>
    <w:p>
      <w:pPr>
        <w:pStyle w:val="Normal"/>
        <w:widowControl/>
        <w:numPr>
          <w:ilvl w:val="0"/>
          <w:numId w:val="0"/>
        </w:numPr>
        <w:tabs>
          <w:tab w:val="left" w:pos="708" w:leader="none"/>
        </w:tabs>
        <w:suppressAutoHyphens w:val="true"/>
        <w:bidi w:val="0"/>
        <w:spacing w:lineRule="auto" w:line="276" w:before="0" w:after="0"/>
        <w:ind w:left="0" w:right="0" w:firstLine="737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Заявление подаётся в произвольной форме рукописным (разборчиво) или машинописным способом и подписывается заявителем.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color w:val="000000"/>
          <w:sz w:val="28"/>
          <w:szCs w:val="28"/>
        </w:rPr>
        <w:t>Специалист регистрирует заявление путём внесения соответствующей записи в журнал учёта документов.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Заявителю выдаётся расписка о приёме заявления с отметкой о дате.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Результатом административной процедуры является запись                     о регистрации заявления и документов, представленных для исправления допущенных опечаток и (или) ошибок в журнале учёта документов.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2) рассмотрение поступивших документов, оформление нового  письма, уведомление о готовности результата и </w:t>
      </w:r>
      <w:bookmarkStart w:id="2" w:name="__DdeLink__1478_1530859616"/>
      <w:r>
        <w:rPr>
          <w:rFonts w:ascii="PT Astra Serif" w:hAnsi="PT Astra Serif"/>
          <w:bCs/>
          <w:color w:val="000000"/>
          <w:sz w:val="28"/>
          <w:szCs w:val="28"/>
        </w:rPr>
        <w:t>выдача (направление) информации после исправления допущенных опечаток и (или) ошибок.</w:t>
      </w:r>
      <w:bookmarkEnd w:id="2"/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Основанием для начала административной процедуры является зарегистрированное заявление об исправлении допущенных опечаток и (или) ошибок и представленные документы.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Результатом административной процедуры является выдача (направление) информационного письма после исправления допущенных опечаток и (или) ошибок.</w:t>
      </w:r>
    </w:p>
    <w:p>
      <w:pPr>
        <w:pStyle w:val="ConsPlusNormal1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  <w:bookmarkStart w:id="3" w:name="P161"/>
      <w:bookmarkStart w:id="4" w:name="P161"/>
      <w:bookmarkEnd w:id="4"/>
    </w:p>
    <w:p>
      <w:pPr>
        <w:pStyle w:val="Normal"/>
        <w:numPr>
          <w:ilvl w:val="0"/>
          <w:numId w:val="0"/>
        </w:numPr>
        <w:ind w:firstLine="70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4. Формы контроля за исполнением  Административного регламента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4.1. Текущий контроль за предоставлением государственной услуги осуществляет руководитель </w:t>
      </w:r>
      <w:bookmarkStart w:id="5" w:name="__DdeLink__303_3758185265"/>
      <w:r>
        <w:rPr>
          <w:rFonts w:ascii="PT Astra Serif" w:hAnsi="PT Astra Serif"/>
          <w:color w:val="000000"/>
          <w:sz w:val="28"/>
          <w:szCs w:val="28"/>
        </w:rPr>
        <w:t xml:space="preserve">департамента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лицензирования, </w:t>
      </w:r>
      <w:r>
        <w:rPr>
          <w:rFonts w:cs="Times New Roman" w:ascii="PT Astra Serif" w:hAnsi="PT Astra Serif"/>
          <w:sz w:val="28"/>
          <w:szCs w:val="28"/>
        </w:rPr>
        <w:t xml:space="preserve">пищевой               и перерабатывающей промышленности </w:t>
      </w:r>
      <w:r>
        <w:rPr>
          <w:rFonts w:ascii="PT Astra Serif" w:hAnsi="PT Astra Serif"/>
          <w:color w:val="000000"/>
          <w:sz w:val="28"/>
          <w:szCs w:val="28"/>
        </w:rPr>
        <w:t>Министерств</w:t>
      </w:r>
      <w:bookmarkEnd w:id="5"/>
      <w:r>
        <w:rPr>
          <w:rFonts w:ascii="PT Astra Serif" w:hAnsi="PT Astra Serif"/>
          <w:color w:val="000000"/>
          <w:sz w:val="28"/>
          <w:szCs w:val="28"/>
        </w:rPr>
        <w:t>а.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color w:val="000000"/>
          <w:sz w:val="28"/>
          <w:szCs w:val="28"/>
        </w:rPr>
        <w:t>Текущий контроль осуществляется путём проведения проверок соблюдения и исполнения специалистом нормативных правовых актов Российской Федерации, Ульяновской области, положений Административного регламента. Проверка также проводится по конкретному обращению заявителя.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Периодичность осуществления текущего контроля устанавливается     заместителем Председателя Правительства Ульяновской области - Министром агропромышленного комплекса и развития сельских территорий Ульяновской области (далее-Министр). 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4.2.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sz w:val="28"/>
          <w:szCs w:val="28"/>
        </w:rPr>
        <w:t>Проверки полноты и качества предоставления государственной услуги осуществляются на основании распоряжения</w:t>
      </w:r>
      <w:r>
        <w:rPr>
          <w:rFonts w:ascii="PT Astra Serif" w:hAnsi="PT Astra Serif"/>
          <w:color w:val="000000"/>
          <w:sz w:val="28"/>
          <w:szCs w:val="28"/>
        </w:rPr>
        <w:t xml:space="preserve"> Министерства.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 результатам контроля </w:t>
      </w:r>
      <w:r>
        <w:rPr>
          <w:rFonts w:ascii="PT Astra Serif" w:hAnsi="PT Astra Serif"/>
          <w:sz w:val="28"/>
          <w:szCs w:val="28"/>
        </w:rPr>
        <w:t>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Ульяновской области осуществляется привлечение виновных лиц к ответственности                         в соответствии с законодательством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Плановые проверки </w:t>
      </w:r>
      <w:r>
        <w:rPr>
          <w:rFonts w:ascii="PT Astra Serif" w:hAnsi="PT Astra Serif"/>
          <w:sz w:val="28"/>
          <w:szCs w:val="28"/>
        </w:rPr>
        <w:t xml:space="preserve">полноты и качества предоставления государственной услуги осуществляются </w:t>
      </w:r>
      <w:r>
        <w:rPr>
          <w:rFonts w:ascii="PT Astra Serif" w:hAnsi="PT Astra Serif"/>
          <w:color w:val="000000"/>
          <w:sz w:val="28"/>
          <w:szCs w:val="28"/>
        </w:rPr>
        <w:t>ежегодно.</w:t>
      </w:r>
    </w:p>
    <w:p>
      <w:pPr>
        <w:pStyle w:val="ConsPlusNormal1"/>
        <w:spacing w:lineRule="auto" w:line="276"/>
        <w:ind w:left="0" w:right="0" w:hanging="0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Внеплановые проверки осуществляются по решению Министра, руководителя департамента лицензирования, пищевой  и  перерабатывающей</w:t>
      </w:r>
    </w:p>
    <w:p>
      <w:pPr>
        <w:pStyle w:val="ConsPlusNormal1"/>
        <w:spacing w:lineRule="auto" w:line="276"/>
        <w:ind w:left="0" w:right="0" w:hanging="0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промышленности Министерства, а также на основании полученной жалобы (обращения) на действия (бездействие) и решения, принятые в ходе предоставления государственной услуги, действия (бездействие) и решения уполномоченных должностных лиц, участвующих в предоставлении государственной услуги.</w:t>
      </w:r>
    </w:p>
    <w:p>
      <w:pPr>
        <w:pStyle w:val="Normal"/>
        <w:shd w:val="clear" w:color="auto" w:fill="FFFFFF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4.3. Должностные лица, участвующие в предоставлении государственной услуги, несут персональную ответственность за полноту            и качество предоставления государственной услуги, за соблюдение                       и исполнение положений настоящего Административного регламента и иных нормативных правовых актов, устанавливающих требования                             к  предоставлению государственной услуги. </w:t>
      </w:r>
    </w:p>
    <w:p>
      <w:pPr>
        <w:pStyle w:val="Normal"/>
        <w:shd w:val="clear" w:color="auto" w:fill="FFFFFF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Персональная ответственность должностных лиц, участвующих                      в предоставлении государственной услуги, устанавливается в их должностных регламентах в соответствии с требованиями законодательных   и иных нормативных правовых актов Российской Федерации.</w:t>
      </w:r>
    </w:p>
    <w:p>
      <w:pPr>
        <w:pStyle w:val="Normal"/>
        <w:shd w:val="clear" w:color="auto" w:fill="FFFFFF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 нарушение порядка предоставления государственной услуги          предусмотрена административная ответственность в соответствии                  со статьёй 25 Закона Ульяновской области  от 28.02.2011 № 16-ЗО «Кодекс Ульяновской области об административных правонарушениях».</w:t>
      </w:r>
    </w:p>
    <w:p>
      <w:pPr>
        <w:pStyle w:val="Normal"/>
        <w:shd w:val="clear" w:color="auto" w:fill="FFFFFF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4.4. Контроль за предоставлением государственной услуги должностными лицами Министерства может осуществляться со стороны граждан, их объединений и организаций путём направления в адрес Министерства:</w:t>
      </w:r>
    </w:p>
    <w:p>
      <w:pPr>
        <w:pStyle w:val="Normal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сообщений о нарушении законов и иных нормативных правовых актов, недостатках в работе должностных лиц Министерства, ответственных за выполнение отдельных административных процедур, предусмотренных настоящим  Административным регламентом;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жалоб по фактам нарушения должностными лицами Министерства прав, свобод или законных интересов граждан.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0"/>
        <w:jc w:val="center"/>
        <w:outlineLvl w:val="1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5. Досудебный (внесудебный) порядок обжалования решений                  и действий (бездействия) Министерства,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>
      <w:pPr>
        <w:pStyle w:val="Normal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Жалобы, за исключением жалоб на решения и (или) действия (бездействие), принятые (осуществляемые) Министром, рассматриваются должностным лицом, уполномоченным на рассмотрение жалоб - заместителем Министра агропромышленного комплекса и развития сельских территорий Ульяновской области (далее- уполномоченное лицо) .</w:t>
      </w:r>
    </w:p>
    <w:p>
      <w:pPr>
        <w:pStyle w:val="Normal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Жалобы на решения и (или) действия (бездействие), принятые (осуществляемые) уполномоченным лицом рассматриваются Министром.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Жалобы на решения и (или) действия (бездействие), принятые (осуществляемые) Министром,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            от 31.10.2012 № 514-П 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5.3. Способы информирования заявителей о порядке подачи                    и рассмотрения жалобы, в том числе с использованием Единого портала, Регионального портала. </w:t>
      </w:r>
    </w:p>
    <w:p>
      <w:pPr>
        <w:pStyle w:val="Normal"/>
        <w:spacing w:before="0" w:after="0"/>
        <w:ind w:firstLine="700"/>
        <w:jc w:val="both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Информацию о порядке подачи и рассмотрения жалобы можно получить у ответственного лица при личном обращении или по телефону,       а также посредством использования информации, размещённой                      на официальном сайте Министерства, на Едином портале, на Региональном портале.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            а также их должностных лиц, государственных служащих, работников.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</w:t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>
      <w:pPr>
        <w:pStyle w:val="Normal"/>
        <w:shd w:val="clear" w:color="auto" w:fill="FFFFFF"/>
        <w:spacing w:before="0" w:after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Закон Ульяновской области от 28.02.2011 № 16-ЗО «Кодекс Ульяновской области об административных правонарушениях»;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sz w:val="28"/>
          <w:szCs w:val="28"/>
        </w:rPr>
        <w:t>постановление Правительства Ульяновской области от 31.10.2012        № 514-П 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PT Astra Serif" w:hAnsi="PT Astra Serif"/>
          <w:bCs/>
          <w:sz w:val="28"/>
          <w:szCs w:val="28"/>
        </w:rPr>
        <w:t>постановление Правительства Ульяновской области от 24.07.2013              № 316-П «Об утверждении Положения об особенностях подачи                       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области».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5.5. Информация, указанная в пунктах 5.1 - 5.4, размещена                    на официальном сайте</w:t>
      </w:r>
      <w:r>
        <w:rPr>
          <w:rFonts w:ascii="PT Astra Serif" w:hAnsi="PT Astra Serif"/>
          <w:i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Едином портале и Региональном портале.</w:t>
      </w:r>
    </w:p>
    <w:p>
      <w:pPr>
        <w:pStyle w:val="Normal"/>
        <w:numPr>
          <w:ilvl w:val="0"/>
          <w:numId w:val="0"/>
        </w:numPr>
        <w:spacing w:before="0" w:after="200"/>
        <w:ind w:firstLine="700"/>
        <w:jc w:val="both"/>
        <w:outlineLvl w:val="1"/>
        <w:rPr/>
      </w:pPr>
      <w:r>
        <w:rPr/>
      </w:r>
    </w:p>
    <w:sectPr>
      <w:headerReference w:type="default" r:id="rId5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PT Sans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14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Style23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b638ef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3">
    <w:name w:val="Heading 3"/>
    <w:basedOn w:val="Normal"/>
    <w:next w:val="Normal"/>
    <w:link w:val="30"/>
    <w:uiPriority w:val="9"/>
    <w:qFormat/>
    <w:rsid w:val="001106a4"/>
    <w:pPr>
      <w:keepNext w:val="true"/>
      <w:spacing w:lineRule="auto" w:line="240" w:before="240" w:after="60"/>
      <w:outlineLvl w:val="2"/>
    </w:pPr>
    <w:rPr>
      <w:rFonts w:ascii="Cambria" w:hAnsi="Cambria" w:eastAsia="Times New Roman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1106a4"/>
    <w:rPr>
      <w:rFonts w:ascii="Cambria" w:hAnsi="Cambria" w:eastAsia="Times New Roman"/>
      <w:b/>
      <w:bCs/>
      <w:sz w:val="26"/>
      <w:szCs w:val="26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653dbb"/>
    <w:rPr>
      <w:sz w:val="22"/>
      <w:szCs w:val="22"/>
      <w:lang w:eastAsia="en-US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653dbb"/>
    <w:rPr>
      <w:sz w:val="22"/>
      <w:szCs w:val="22"/>
      <w:lang w:eastAsia="en-US"/>
    </w:rPr>
  </w:style>
  <w:style w:type="character" w:styleId="Style15" w:customStyle="1">
    <w:name w:val="Гипертекстовая ссылка"/>
    <w:basedOn w:val="DefaultParagraphFont"/>
    <w:qFormat/>
    <w:rsid w:val="009377cf"/>
    <w:rPr>
      <w:rFonts w:cs="Times New Roman"/>
      <w:b/>
      <w:bCs/>
      <w:color w:val="008000"/>
    </w:rPr>
  </w:style>
  <w:style w:type="character" w:styleId="Style16">
    <w:name w:val="Интернет-ссылка"/>
    <w:basedOn w:val="DefaultParagraphFont"/>
    <w:rsid w:val="009377cf"/>
    <w:rPr>
      <w:rFonts w:cs="Times New Roman"/>
      <w:color w:val="0000FF"/>
      <w:u w:val="single"/>
    </w:rPr>
  </w:style>
  <w:style w:type="character" w:styleId="ConsPlusNormal" w:customStyle="1">
    <w:name w:val="ConsPlusNormal Знак"/>
    <w:basedOn w:val="DefaultParagraphFont"/>
    <w:link w:val="ConsPlusNormal"/>
    <w:uiPriority w:val="99"/>
    <w:qFormat/>
    <w:locked/>
    <w:rsid w:val="009377cf"/>
    <w:rPr>
      <w:rFonts w:eastAsia="Times New Roman" w:cs="Calibri"/>
      <w:sz w:val="22"/>
      <w:lang w:val="ru-RU" w:eastAsia="ru-RU" w:bidi="ar-SA"/>
    </w:rPr>
  </w:style>
  <w:style w:type="character" w:styleId="FontStyle44" w:customStyle="1">
    <w:name w:val="Font Style44"/>
    <w:basedOn w:val="DefaultParagraphFont"/>
    <w:qFormat/>
    <w:rsid w:val="009377cf"/>
    <w:rPr>
      <w:rFonts w:ascii="Times New Roman" w:hAnsi="Times New Roman" w:cs="Times New Roman"/>
      <w:sz w:val="26"/>
      <w:szCs w:val="26"/>
    </w:rPr>
  </w:style>
  <w:style w:type="character" w:styleId="Style17" w:customStyle="1">
    <w:name w:val="Обычный (веб) Знак"/>
    <w:basedOn w:val="DefaultParagraphFont"/>
    <w:link w:val="ab"/>
    <w:qFormat/>
    <w:locked/>
    <w:rsid w:val="004c5bbf"/>
    <w:rPr>
      <w:sz w:val="24"/>
      <w:szCs w:val="24"/>
    </w:rPr>
  </w:style>
  <w:style w:type="character" w:styleId="Appleconvertedspace" w:customStyle="1">
    <w:name w:val="apple-converted-space"/>
    <w:qFormat/>
    <w:rsid w:val="00257d7d"/>
    <w:rPr>
      <w:rFonts w:ascii="Times New Roman" w:hAnsi="Times New Roman" w:cs="Times New Roman"/>
    </w:rPr>
  </w:style>
  <w:style w:type="character" w:styleId="Match" w:customStyle="1">
    <w:name w:val="match"/>
    <w:qFormat/>
    <w:rsid w:val="00257d7d"/>
    <w:rPr>
      <w:rFonts w:ascii="Times New Roman" w:hAnsi="Times New Roman" w:cs="Times New Roman"/>
    </w:rPr>
  </w:style>
  <w:style w:type="character" w:styleId="32" w:customStyle="1">
    <w:name w:val="Стиль3 Знак"/>
    <w:link w:val="31"/>
    <w:uiPriority w:val="99"/>
    <w:qFormat/>
    <w:locked/>
    <w:rsid w:val="00b92112"/>
    <w:rPr>
      <w:rFonts w:ascii="Times New Roman" w:hAnsi="Times New Roman" w:eastAsia="Times New Roman"/>
      <w:sz w:val="28"/>
      <w:szCs w:val="28"/>
    </w:rPr>
  </w:style>
  <w:style w:type="character" w:styleId="ListLabel1">
    <w:name w:val="ListLabel 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2">
    <w:name w:val="ListLabel 2"/>
    <w:qFormat/>
    <w:rPr>
      <w:rFonts w:ascii="Times New Roman" w:hAnsi="Times New Roman"/>
      <w:color w:val="000000"/>
      <w:sz w:val="28"/>
      <w:szCs w:val="28"/>
    </w:rPr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color w:val="FF0000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00"/>
    </w:rPr>
  </w:style>
  <w:style w:type="character" w:styleId="ListLabel6">
    <w:name w:val="ListLabel 6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">
    <w:name w:val="ListLabel 7"/>
    <w:qFormat/>
    <w:rPr>
      <w:rFonts w:ascii="Times New Roman" w:hAnsi="Times New Roman"/>
      <w:color w:val="000000"/>
      <w:sz w:val="28"/>
      <w:szCs w:val="28"/>
    </w:rPr>
  </w:style>
  <w:style w:type="character" w:styleId="ListLabel8">
    <w:name w:val="ListLabel 8"/>
    <w:qFormat/>
    <w:rPr>
      <w:rFonts w:ascii="Times New Roman" w:hAnsi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color w:val="000000"/>
    </w:rPr>
  </w:style>
  <w:style w:type="character" w:styleId="ListLabel11">
    <w:name w:val="ListLabel 1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12">
    <w:name w:val="ListLabel 12"/>
    <w:qFormat/>
    <w:rPr>
      <w:rFonts w:ascii="Times New Roman" w:hAnsi="Times New Roman"/>
      <w:color w:val="000000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sz w:val="28"/>
      <w:szCs w:val="28"/>
    </w:rPr>
  </w:style>
  <w:style w:type="character" w:styleId="ListLabel14">
    <w:name w:val="ListLabel 1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5">
    <w:name w:val="ListLabel 15"/>
    <w:qFormat/>
    <w:rPr>
      <w:rFonts w:ascii="Times New Roman" w:hAnsi="Times New Roman" w:cs="Times New Roman"/>
      <w:color w:val="000000"/>
    </w:rPr>
  </w:style>
  <w:style w:type="character" w:styleId="ListLabel16">
    <w:name w:val="ListLabel 16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color w:val="000000"/>
      <w:sz w:val="28"/>
      <w:szCs w:val="28"/>
    </w:rPr>
  </w:style>
  <w:style w:type="character" w:styleId="ListLabel18">
    <w:name w:val="ListLabel 18"/>
    <w:qFormat/>
    <w:rPr>
      <w:rFonts w:ascii="Times New Roman" w:hAnsi="Times New Roman"/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1">
    <w:name w:val="ListLabel 21"/>
    <w:qFormat/>
    <w:rPr>
      <w:rFonts w:ascii="Times New Roman" w:hAnsi="Times New Roman" w:cs="Times New Roman"/>
      <w:color w:val="000000"/>
    </w:rPr>
  </w:style>
  <w:style w:type="character" w:styleId="ListLabel22">
    <w:name w:val="ListLabel 2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23">
    <w:name w:val="ListLabel 23"/>
    <w:qFormat/>
    <w:rPr>
      <w:rFonts w:ascii="Times New Roman" w:hAnsi="Times New Roman"/>
      <w:color w:val="000000"/>
      <w:sz w:val="28"/>
      <w:szCs w:val="28"/>
    </w:rPr>
  </w:style>
  <w:style w:type="character" w:styleId="ListLabel24">
    <w:name w:val="ListLabel 24"/>
    <w:qFormat/>
    <w:rPr>
      <w:rFonts w:ascii="Times New Roman" w:hAnsi="Times New Roman"/>
      <w:sz w:val="28"/>
      <w:szCs w:val="28"/>
    </w:rPr>
  </w:style>
  <w:style w:type="character" w:styleId="ListLabel25">
    <w:name w:val="ListLabel 2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6">
    <w:name w:val="ListLabel 26"/>
    <w:qFormat/>
    <w:rPr>
      <w:rFonts w:ascii="Times New Roman" w:hAnsi="Times New Roman" w:cs="Times New Roman"/>
      <w:color w:val="000000"/>
    </w:rPr>
  </w:style>
  <w:style w:type="character" w:styleId="ListLabel27">
    <w:name w:val="ListLabel 2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28">
    <w:name w:val="ListLabel 28"/>
    <w:qFormat/>
    <w:rPr>
      <w:rFonts w:ascii="Times New Roman" w:hAnsi="Times New Roman"/>
      <w:color w:val="000000"/>
      <w:sz w:val="28"/>
      <w:szCs w:val="28"/>
    </w:rPr>
  </w:style>
  <w:style w:type="character" w:styleId="ListLabel29">
    <w:name w:val="ListLabel 29"/>
    <w:qFormat/>
    <w:rPr>
      <w:rFonts w:ascii="Times New Roman" w:hAnsi="Times New Roman"/>
      <w:sz w:val="28"/>
      <w:szCs w:val="28"/>
    </w:rPr>
  </w:style>
  <w:style w:type="character" w:styleId="ListLabel30">
    <w:name w:val="ListLabel 3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31">
    <w:name w:val="ListLabel 31"/>
    <w:qFormat/>
    <w:rPr>
      <w:rFonts w:ascii="Times New Roman" w:hAnsi="Times New Roman" w:cs="Times New Roman"/>
      <w:color w:val="000000"/>
    </w:rPr>
  </w:style>
  <w:style w:type="character" w:styleId="ListLabel32">
    <w:name w:val="ListLabel 3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33">
    <w:name w:val="ListLabel 33"/>
    <w:qFormat/>
    <w:rPr>
      <w:rFonts w:ascii="Times New Roman" w:hAnsi="Times New Roman"/>
      <w:color w:val="000000"/>
      <w:sz w:val="28"/>
      <w:szCs w:val="28"/>
    </w:rPr>
  </w:style>
  <w:style w:type="character" w:styleId="ListLabel34">
    <w:name w:val="ListLabel 34"/>
    <w:qFormat/>
    <w:rPr>
      <w:rFonts w:ascii="Times New Roman" w:hAnsi="Times New Roman"/>
      <w:sz w:val="28"/>
      <w:szCs w:val="28"/>
    </w:rPr>
  </w:style>
  <w:style w:type="character" w:styleId="ListLabel35">
    <w:name w:val="ListLabel 3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36">
    <w:name w:val="ListLabel 36"/>
    <w:qFormat/>
    <w:rPr>
      <w:rFonts w:ascii="Times New Roman" w:hAnsi="Times New Roman" w:cs="Times New Roman"/>
      <w:color w:val="000000"/>
    </w:rPr>
  </w:style>
  <w:style w:type="character" w:styleId="ListLabel37">
    <w:name w:val="ListLabel 3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38">
    <w:name w:val="ListLabel 38"/>
    <w:qFormat/>
    <w:rPr>
      <w:rFonts w:ascii="Times New Roman" w:hAnsi="Times New Roman"/>
      <w:color w:val="000000"/>
      <w:sz w:val="28"/>
      <w:szCs w:val="28"/>
    </w:rPr>
  </w:style>
  <w:style w:type="character" w:styleId="ListLabel39">
    <w:name w:val="ListLabel 39"/>
    <w:qFormat/>
    <w:rPr>
      <w:rFonts w:ascii="Times New Roman" w:hAnsi="Times New Roman"/>
      <w:sz w:val="28"/>
      <w:szCs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color w:val="000000"/>
    </w:rPr>
  </w:style>
  <w:style w:type="character" w:styleId="ListLabel42">
    <w:name w:val="ListLabel 4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43">
    <w:name w:val="ListLabel 43"/>
    <w:qFormat/>
    <w:rPr>
      <w:rFonts w:ascii="Times New Roman" w:hAnsi="Times New Roman"/>
      <w:color w:val="000000"/>
      <w:sz w:val="28"/>
      <w:szCs w:val="28"/>
    </w:rPr>
  </w:style>
  <w:style w:type="character" w:styleId="ListLabel44">
    <w:name w:val="ListLabel 44"/>
    <w:qFormat/>
    <w:rPr>
      <w:rFonts w:ascii="Times New Roman" w:hAnsi="Times New Roman"/>
      <w:sz w:val="28"/>
      <w:szCs w:val="28"/>
    </w:rPr>
  </w:style>
  <w:style w:type="character" w:styleId="ListLabel45">
    <w:name w:val="ListLabel 4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6">
    <w:name w:val="ListLabel 46"/>
    <w:qFormat/>
    <w:rPr>
      <w:rFonts w:ascii="Times New Roman" w:hAnsi="Times New Roman" w:cs="Times New Roman"/>
      <w:color w:val="000000"/>
    </w:rPr>
  </w:style>
  <w:style w:type="character" w:styleId="ListLabel47">
    <w:name w:val="ListLabel 4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48">
    <w:name w:val="ListLabel 48"/>
    <w:qFormat/>
    <w:rPr>
      <w:rFonts w:ascii="Times New Roman" w:hAnsi="Times New Roman"/>
      <w:color w:val="000000"/>
      <w:sz w:val="28"/>
      <w:szCs w:val="28"/>
    </w:rPr>
  </w:style>
  <w:style w:type="character" w:styleId="ListLabel49">
    <w:name w:val="ListLabel 49"/>
    <w:qFormat/>
    <w:rPr>
      <w:rFonts w:ascii="Times New Roman" w:hAnsi="Times New Roman"/>
      <w:sz w:val="28"/>
      <w:szCs w:val="28"/>
    </w:rPr>
  </w:style>
  <w:style w:type="character" w:styleId="ListLabel50">
    <w:name w:val="ListLabel 5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1">
    <w:name w:val="ListLabel 5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52">
    <w:name w:val="ListLabel 52"/>
    <w:qFormat/>
    <w:rPr>
      <w:rFonts w:ascii="Times New Roman" w:hAnsi="Times New Roman"/>
      <w:color w:val="000000"/>
      <w:sz w:val="28"/>
      <w:szCs w:val="28"/>
    </w:rPr>
  </w:style>
  <w:style w:type="character" w:styleId="ListLabel53">
    <w:name w:val="ListLabel 53"/>
    <w:qFormat/>
    <w:rPr>
      <w:rFonts w:ascii="Times New Roman" w:hAnsi="Times New Roman"/>
      <w:sz w:val="28"/>
      <w:szCs w:val="28"/>
    </w:rPr>
  </w:style>
  <w:style w:type="character" w:styleId="ListLabel54">
    <w:name w:val="ListLabel 5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5">
    <w:name w:val="ListLabel 55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56">
    <w:name w:val="ListLabel 56"/>
    <w:qFormat/>
    <w:rPr>
      <w:rFonts w:ascii="Times New Roman" w:hAnsi="Times New Roman"/>
      <w:color w:val="000000"/>
      <w:sz w:val="28"/>
      <w:szCs w:val="28"/>
    </w:rPr>
  </w:style>
  <w:style w:type="character" w:styleId="ListLabel57">
    <w:name w:val="ListLabel 57"/>
    <w:qFormat/>
    <w:rPr>
      <w:rFonts w:ascii="Times New Roman" w:hAnsi="Times New Roman"/>
      <w:sz w:val="28"/>
      <w:szCs w:val="28"/>
    </w:rPr>
  </w:style>
  <w:style w:type="character" w:styleId="ListLabel58">
    <w:name w:val="ListLabel 58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9">
    <w:name w:val="ListLabel 59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0">
    <w:name w:val="ListLabel 60"/>
    <w:qFormat/>
    <w:rPr>
      <w:rFonts w:ascii="Times New Roman" w:hAnsi="Times New Roman"/>
      <w:color w:val="000000"/>
      <w:sz w:val="28"/>
      <w:szCs w:val="28"/>
    </w:rPr>
  </w:style>
  <w:style w:type="character" w:styleId="ListLabel61">
    <w:name w:val="ListLabel 61"/>
    <w:qFormat/>
    <w:rPr>
      <w:rFonts w:ascii="Times New Roman" w:hAnsi="Times New Roman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3">
    <w:name w:val="ListLabel 63"/>
    <w:qFormat/>
    <w:rPr>
      <w:rFonts w:ascii="Times New Roman" w:hAnsi="Times New Roman"/>
      <w:color w:val="000000"/>
      <w:sz w:val="28"/>
      <w:szCs w:val="28"/>
    </w:rPr>
  </w:style>
  <w:style w:type="character" w:styleId="ListLabel64">
    <w:name w:val="ListLabel 64"/>
    <w:qFormat/>
    <w:rPr>
      <w:rFonts w:ascii="Times New Roman" w:hAnsi="Times New Roman"/>
      <w:sz w:val="28"/>
      <w:szCs w:val="28"/>
    </w:rPr>
  </w:style>
  <w:style w:type="character" w:styleId="ListLabel65">
    <w:name w:val="ListLabel 65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6">
    <w:name w:val="ListLabel 66"/>
    <w:qFormat/>
    <w:rPr>
      <w:rFonts w:ascii="Times New Roman" w:hAnsi="Times New Roman"/>
      <w:color w:val="000000"/>
      <w:sz w:val="28"/>
      <w:szCs w:val="28"/>
    </w:rPr>
  </w:style>
  <w:style w:type="character" w:styleId="ListLabel67">
    <w:name w:val="ListLabel 67"/>
    <w:qFormat/>
    <w:rPr>
      <w:rFonts w:ascii="Times New Roman" w:hAnsi="Times New Roman"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9">
    <w:name w:val="ListLabel 69"/>
    <w:qFormat/>
    <w:rPr>
      <w:rFonts w:ascii="Times New Roman" w:hAnsi="Times New Roman"/>
      <w:color w:val="000000"/>
      <w:sz w:val="28"/>
      <w:szCs w:val="28"/>
    </w:rPr>
  </w:style>
  <w:style w:type="character" w:styleId="ListLabel70">
    <w:name w:val="ListLabel 70"/>
    <w:qFormat/>
    <w:rPr>
      <w:rFonts w:ascii="Times New Roman" w:hAnsi="Times New Roman"/>
      <w:sz w:val="28"/>
      <w:szCs w:val="28"/>
    </w:rPr>
  </w:style>
  <w:style w:type="character" w:styleId="ListLabel71">
    <w:name w:val="ListLabel 7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2">
    <w:name w:val="ListLabel 72"/>
    <w:qFormat/>
    <w:rPr>
      <w:rFonts w:ascii="Times New Roman" w:hAnsi="Times New Roman"/>
      <w:color w:val="000000"/>
      <w:sz w:val="28"/>
      <w:szCs w:val="28"/>
    </w:rPr>
  </w:style>
  <w:style w:type="character" w:styleId="ListLabel73">
    <w:name w:val="ListLabel 73"/>
    <w:qFormat/>
    <w:rPr>
      <w:rFonts w:ascii="Times New Roman" w:hAnsi="Times New Roman"/>
      <w:sz w:val="28"/>
      <w:szCs w:val="28"/>
    </w:rPr>
  </w:style>
  <w:style w:type="character" w:styleId="ListLabel74">
    <w:name w:val="ListLabel 74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5">
    <w:name w:val="ListLabel 75"/>
    <w:qFormat/>
    <w:rPr>
      <w:rFonts w:ascii="Times New Roman" w:hAnsi="Times New Roman"/>
      <w:color w:val="000000"/>
      <w:sz w:val="28"/>
      <w:szCs w:val="28"/>
    </w:rPr>
  </w:style>
  <w:style w:type="character" w:styleId="ListLabel76">
    <w:name w:val="ListLabel 76"/>
    <w:qFormat/>
    <w:rPr>
      <w:rFonts w:ascii="Times New Roman" w:hAnsi="Times New Roman"/>
      <w:sz w:val="28"/>
      <w:szCs w:val="28"/>
    </w:rPr>
  </w:style>
  <w:style w:type="character" w:styleId="ListLabel77">
    <w:name w:val="ListLabel 7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8">
    <w:name w:val="ListLabel 78"/>
    <w:qFormat/>
    <w:rPr>
      <w:rFonts w:ascii="Times New Roman" w:hAnsi="Times New Roman"/>
      <w:color w:val="000000"/>
      <w:sz w:val="28"/>
      <w:szCs w:val="28"/>
    </w:rPr>
  </w:style>
  <w:style w:type="character" w:styleId="ListLabel79">
    <w:name w:val="ListLabel 79"/>
    <w:qFormat/>
    <w:rPr>
      <w:rFonts w:ascii="Times New Roman" w:hAnsi="Times New Roman"/>
      <w:sz w:val="28"/>
      <w:szCs w:val="28"/>
    </w:rPr>
  </w:style>
  <w:style w:type="character" w:styleId="ListLabel80">
    <w:name w:val="ListLabel 80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81">
    <w:name w:val="ListLabel 81"/>
    <w:qFormat/>
    <w:rPr>
      <w:rFonts w:ascii="Times New Roman" w:hAnsi="Times New Roman"/>
      <w:color w:val="000000"/>
      <w:sz w:val="28"/>
      <w:szCs w:val="28"/>
    </w:rPr>
  </w:style>
  <w:style w:type="character" w:styleId="ListLabel82">
    <w:name w:val="ListLabel 82"/>
    <w:qFormat/>
    <w:rPr>
      <w:rFonts w:ascii="Times New Roman" w:hAnsi="Times New Roman"/>
      <w:sz w:val="28"/>
      <w:szCs w:val="28"/>
    </w:rPr>
  </w:style>
  <w:style w:type="character" w:styleId="ListLabel83">
    <w:name w:val="ListLabel 83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84">
    <w:name w:val="ListLabel 84"/>
    <w:qFormat/>
    <w:rPr>
      <w:rFonts w:ascii="Times New Roman" w:hAnsi="Times New Roman"/>
      <w:color w:val="000000"/>
      <w:sz w:val="28"/>
      <w:szCs w:val="28"/>
    </w:rPr>
  </w:style>
  <w:style w:type="character" w:styleId="ListLabel85">
    <w:name w:val="ListLabel 85"/>
    <w:qFormat/>
    <w:rPr>
      <w:rFonts w:ascii="Times New Roman" w:hAnsi="Times New Roman"/>
      <w:sz w:val="28"/>
      <w:szCs w:val="28"/>
    </w:rPr>
  </w:style>
  <w:style w:type="character" w:styleId="ListLabel86">
    <w:name w:val="ListLabel 86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87">
    <w:name w:val="ListLabel 87"/>
    <w:qFormat/>
    <w:rPr>
      <w:rFonts w:ascii="PT Astra Serif" w:hAnsi="PT Astra Serif"/>
      <w:color w:val="000000"/>
      <w:sz w:val="28"/>
      <w:szCs w:val="28"/>
    </w:rPr>
  </w:style>
  <w:style w:type="character" w:styleId="ListLabel88">
    <w:name w:val="ListLabel 88"/>
    <w:qFormat/>
    <w:rPr>
      <w:rFonts w:ascii="PT Astra Serif" w:hAnsi="PT Astra Serif"/>
      <w:sz w:val="28"/>
      <w:szCs w:val="28"/>
    </w:rPr>
  </w:style>
  <w:style w:type="character" w:styleId="ListLabel89">
    <w:name w:val="ListLabel 89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90">
    <w:name w:val="ListLabel 90"/>
    <w:qFormat/>
    <w:rPr>
      <w:rFonts w:ascii="PT Astra Serif" w:hAnsi="PT Astra Serif"/>
      <w:color w:val="000000"/>
      <w:sz w:val="28"/>
      <w:szCs w:val="28"/>
    </w:rPr>
  </w:style>
  <w:style w:type="character" w:styleId="ListLabel91">
    <w:name w:val="ListLabel 91"/>
    <w:qFormat/>
    <w:rPr>
      <w:rFonts w:ascii="PT Astra Serif" w:hAnsi="PT Astra Serif"/>
      <w:sz w:val="28"/>
      <w:szCs w:val="28"/>
    </w:rPr>
  </w:style>
  <w:style w:type="character" w:styleId="ListLabel92">
    <w:name w:val="ListLabel 92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93">
    <w:name w:val="ListLabel 93"/>
    <w:qFormat/>
    <w:rPr>
      <w:rFonts w:ascii="PT Astra Serif" w:hAnsi="PT Astra Serif"/>
      <w:color w:val="000000"/>
      <w:sz w:val="28"/>
      <w:szCs w:val="28"/>
    </w:rPr>
  </w:style>
  <w:style w:type="character" w:styleId="ListLabel94">
    <w:name w:val="ListLabel 94"/>
    <w:qFormat/>
    <w:rPr>
      <w:rFonts w:ascii="PT Astra Serif" w:hAnsi="PT Astra Serif"/>
      <w:sz w:val="28"/>
      <w:szCs w:val="28"/>
    </w:rPr>
  </w:style>
  <w:style w:type="character" w:styleId="ListLabel95">
    <w:name w:val="ListLabel 95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96">
    <w:name w:val="ListLabel 96"/>
    <w:qFormat/>
    <w:rPr>
      <w:rFonts w:ascii="PT Astra Serif" w:hAnsi="PT Astra Serif"/>
      <w:color w:val="000000"/>
      <w:sz w:val="28"/>
      <w:szCs w:val="28"/>
    </w:rPr>
  </w:style>
  <w:style w:type="character" w:styleId="ListLabel97">
    <w:name w:val="ListLabel 97"/>
    <w:qFormat/>
    <w:rPr>
      <w:rFonts w:ascii="PT Astra Serif" w:hAnsi="PT Astra Serif"/>
      <w:sz w:val="28"/>
      <w:szCs w:val="28"/>
    </w:rPr>
  </w:style>
  <w:style w:type="character" w:styleId="ListLabel98">
    <w:name w:val="ListLabel 98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99">
    <w:name w:val="ListLabel 99"/>
    <w:qFormat/>
    <w:rPr>
      <w:rFonts w:ascii="PT Astra Serif" w:hAnsi="PT Astra Serif"/>
      <w:color w:val="000000"/>
      <w:sz w:val="28"/>
      <w:szCs w:val="28"/>
    </w:rPr>
  </w:style>
  <w:style w:type="character" w:styleId="ListLabel100">
    <w:name w:val="ListLabel 100"/>
    <w:qFormat/>
    <w:rPr>
      <w:rFonts w:ascii="PT Astra Serif" w:hAnsi="PT Astra Serif"/>
      <w:sz w:val="28"/>
      <w:szCs w:val="28"/>
    </w:rPr>
  </w:style>
  <w:style w:type="character" w:styleId="ListLabel101">
    <w:name w:val="ListLabel 101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102">
    <w:name w:val="ListLabel 102"/>
    <w:qFormat/>
    <w:rPr>
      <w:rFonts w:ascii="PT Astra Serif" w:hAnsi="PT Astra Serif"/>
      <w:color w:val="000000"/>
      <w:sz w:val="28"/>
      <w:szCs w:val="28"/>
    </w:rPr>
  </w:style>
  <w:style w:type="character" w:styleId="ListLabel103">
    <w:name w:val="ListLabel 103"/>
    <w:qFormat/>
    <w:rPr>
      <w:rFonts w:ascii="PT Astra Serif" w:hAnsi="PT Astra Serif"/>
      <w:sz w:val="28"/>
      <w:szCs w:val="28"/>
    </w:rPr>
  </w:style>
  <w:style w:type="character" w:styleId="ListLabel104">
    <w:name w:val="ListLabel 104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105">
    <w:name w:val="ListLabel 105"/>
    <w:qFormat/>
    <w:rPr>
      <w:rFonts w:ascii="PT Astra Serif" w:hAnsi="PT Astra Serif"/>
      <w:color w:val="000000"/>
      <w:sz w:val="28"/>
      <w:szCs w:val="28"/>
    </w:rPr>
  </w:style>
  <w:style w:type="character" w:styleId="ListLabel106">
    <w:name w:val="ListLabel 106"/>
    <w:qFormat/>
    <w:rPr>
      <w:rFonts w:ascii="PT Astra Serif" w:hAnsi="PT Astra Serif"/>
      <w:sz w:val="28"/>
      <w:szCs w:val="28"/>
    </w:rPr>
  </w:style>
  <w:style w:type="character" w:styleId="ListLabel107">
    <w:name w:val="ListLabel 107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108">
    <w:name w:val="ListLabel 108"/>
    <w:qFormat/>
    <w:rPr>
      <w:rFonts w:ascii="PT Astra Serif" w:hAnsi="PT Astra Serif"/>
      <w:color w:val="000000"/>
      <w:sz w:val="28"/>
      <w:szCs w:val="28"/>
    </w:rPr>
  </w:style>
  <w:style w:type="character" w:styleId="ListLabel109">
    <w:name w:val="ListLabel 109"/>
    <w:qFormat/>
    <w:rPr>
      <w:rFonts w:ascii="PT Astra Serif" w:hAnsi="PT Astra Serif"/>
      <w:sz w:val="28"/>
      <w:szCs w:val="28"/>
    </w:rPr>
  </w:style>
  <w:style w:type="character" w:styleId="ListLabel110">
    <w:name w:val="ListLabel 110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111">
    <w:name w:val="ListLabel 111"/>
    <w:qFormat/>
    <w:rPr>
      <w:rFonts w:ascii="PT Astra Serif" w:hAnsi="PT Astra Serif"/>
      <w:color w:val="000000"/>
      <w:sz w:val="28"/>
      <w:szCs w:val="28"/>
    </w:rPr>
  </w:style>
  <w:style w:type="character" w:styleId="ListLabel112">
    <w:name w:val="ListLabel 112"/>
    <w:qFormat/>
    <w:rPr>
      <w:rFonts w:ascii="PT Astra Serif" w:hAnsi="PT Astra Serif"/>
      <w:sz w:val="28"/>
      <w:szCs w:val="28"/>
    </w:rPr>
  </w:style>
  <w:style w:type="character" w:styleId="ListLabel113">
    <w:name w:val="ListLabel 113"/>
    <w:qFormat/>
    <w:rPr>
      <w:rFonts w:ascii="PT Astra Serif" w:hAnsi="PT Astra Serif" w:cs="Times New Roman"/>
      <w:b w:val="false"/>
      <w:color w:val="000000"/>
      <w:sz w:val="28"/>
      <w:szCs w:val="28"/>
    </w:rPr>
  </w:style>
  <w:style w:type="character" w:styleId="ListLabel114">
    <w:name w:val="ListLabel 114"/>
    <w:qFormat/>
    <w:rPr>
      <w:rFonts w:ascii="PT Astra Serif" w:hAnsi="PT Astra Serif"/>
      <w:color w:val="000000"/>
      <w:sz w:val="28"/>
      <w:szCs w:val="28"/>
    </w:rPr>
  </w:style>
  <w:style w:type="character" w:styleId="ListLabel115">
    <w:name w:val="ListLabel 115"/>
    <w:qFormat/>
    <w:rPr>
      <w:rFonts w:ascii="PT Astra Serif" w:hAnsi="PT Astra Serif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1" w:customStyle="1">
    <w:name w:val="ConsPlusNormal"/>
    <w:link w:val="ConsPlusNormal0"/>
    <w:uiPriority w:val="99"/>
    <w:qFormat/>
    <w:rsid w:val="00d9168d"/>
    <w:pPr>
      <w:widowControl w:val="false"/>
      <w:bidi w:val="0"/>
      <w:jc w:val="both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d9168d"/>
    <w:pPr>
      <w:widowControl w:val="false"/>
      <w:bidi w:val="0"/>
      <w:jc w:val="both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9168d"/>
    <w:pPr>
      <w:widowControl w:val="false"/>
      <w:bidi w:val="0"/>
      <w:jc w:val="both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d9168d"/>
    <w:pPr>
      <w:widowControl w:val="false"/>
      <w:bidi w:val="0"/>
      <w:jc w:val="both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Style23">
    <w:name w:val="Header"/>
    <w:basedOn w:val="Normal"/>
    <w:link w:val="a5"/>
    <w:uiPriority w:val="99"/>
    <w:unhideWhenUsed/>
    <w:rsid w:val="00653d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semiHidden/>
    <w:unhideWhenUsed/>
    <w:rsid w:val="00653d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 w:customStyle="1">
    <w:name w:val="Style31"/>
    <w:basedOn w:val="Normal"/>
    <w:qFormat/>
    <w:rsid w:val="00b83b8d"/>
    <w:pPr>
      <w:widowControl w:val="false"/>
      <w:spacing w:lineRule="exact" w:line="240" w:before="0" w:after="0"/>
      <w:ind w:hanging="403"/>
    </w:pPr>
    <w:rPr>
      <w:rFonts w:ascii="Arial" w:hAnsi="Arial" w:eastAsia="Times New Roman" w:cs="Arial"/>
      <w:sz w:val="24"/>
      <w:szCs w:val="24"/>
      <w:lang w:eastAsia="ru-RU"/>
    </w:rPr>
  </w:style>
  <w:style w:type="paragraph" w:styleId="FORMATTEXT" w:customStyle="1">
    <w:name w:val=".FORMATTEXT"/>
    <w:qFormat/>
    <w:rsid w:val="00cc0d8a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Без интервала1"/>
    <w:qFormat/>
    <w:rsid w:val="00d3759c"/>
    <w:pPr>
      <w:widowControl/>
      <w:bidi w:val="0"/>
      <w:spacing w:lineRule="auto" w:line="276"/>
      <w:ind w:firstLine="567"/>
      <w:jc w:val="both"/>
    </w:pPr>
    <w:rPr>
      <w:rFonts w:ascii="Arial" w:hAnsi="Arial" w:eastAsia="Calibri" w:cs="Arial"/>
      <w:color w:val="auto"/>
      <w:kern w:val="0"/>
      <w:sz w:val="28"/>
      <w:szCs w:val="28"/>
      <w:lang w:val="ru-RU" w:eastAsia="en-US" w:bidi="ar-SA"/>
    </w:rPr>
  </w:style>
  <w:style w:type="paragraph" w:styleId="Style71" w:customStyle="1">
    <w:name w:val="Style7"/>
    <w:basedOn w:val="Normal"/>
    <w:qFormat/>
    <w:rsid w:val="00391a69"/>
    <w:pPr>
      <w:widowControl w:val="false"/>
      <w:spacing w:lineRule="exact" w:line="360" w:before="0" w:after="0"/>
      <w:ind w:firstLine="725"/>
    </w:pPr>
    <w:rPr>
      <w:rFonts w:ascii="Arial" w:hAnsi="Arial" w:cs="Arial"/>
      <w:sz w:val="24"/>
      <w:szCs w:val="24"/>
      <w:lang w:eastAsia="ru-RU"/>
    </w:rPr>
  </w:style>
  <w:style w:type="paragraph" w:styleId="NormalWeb">
    <w:name w:val="Normal (Web)"/>
    <w:basedOn w:val="Normal"/>
    <w:link w:val="aa"/>
    <w:unhideWhenUsed/>
    <w:qFormat/>
    <w:rsid w:val="004c5bbf"/>
    <w:pPr>
      <w:spacing w:lineRule="auto" w:line="240" w:beforeAutospacing="1" w:afterAutospacing="1"/>
      <w:jc w:val="left"/>
    </w:pPr>
    <w:rPr>
      <w:sz w:val="24"/>
      <w:szCs w:val="24"/>
      <w:lang w:eastAsia="ru-RU"/>
    </w:rPr>
  </w:style>
  <w:style w:type="paragraph" w:styleId="Headertexttopleveltextcentertext" w:customStyle="1">
    <w:name w:val="headertext topleveltext centertext"/>
    <w:basedOn w:val="Normal"/>
    <w:qFormat/>
    <w:rsid w:val="00257d7d"/>
    <w:pPr>
      <w:spacing w:lineRule="auto" w:line="240" w:before="100" w:after="100"/>
      <w:jc w:val="left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Formattexttopleveltext" w:customStyle="1">
    <w:name w:val="formattext topleveltext"/>
    <w:basedOn w:val="Normal"/>
    <w:qFormat/>
    <w:rsid w:val="000b6014"/>
    <w:pPr>
      <w:spacing w:lineRule="auto" w:line="240" w:before="100" w:after="100"/>
      <w:jc w:val="left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Style61" w:customStyle="1">
    <w:name w:val="Style6"/>
    <w:basedOn w:val="Normal"/>
    <w:qFormat/>
    <w:rsid w:val="00a12a1e"/>
    <w:pPr>
      <w:widowControl w:val="false"/>
      <w:spacing w:lineRule="exact" w:line="360" w:before="0" w:after="0"/>
      <w:ind w:firstLine="720"/>
    </w:pPr>
    <w:rPr>
      <w:rFonts w:ascii="Arial" w:hAnsi="Arial" w:cs="Arial"/>
      <w:sz w:val="24"/>
      <w:szCs w:val="24"/>
      <w:lang w:eastAsia="ru-RU"/>
    </w:rPr>
  </w:style>
  <w:style w:type="paragraph" w:styleId="33" w:customStyle="1">
    <w:name w:val="Стиль3"/>
    <w:basedOn w:val="Normal"/>
    <w:link w:val="32"/>
    <w:uiPriority w:val="99"/>
    <w:qFormat/>
    <w:rsid w:val="00b92112"/>
    <w:pPr>
      <w:spacing w:lineRule="auto" w:line="360" w:before="0" w:after="0"/>
      <w:ind w:firstLine="709"/>
    </w:pPr>
    <w:rPr>
      <w:rFonts w:ascii="Times New Roman" w:hAnsi="Times New Roman" w:eastAsia="Times New Roman"/>
      <w:sz w:val="28"/>
      <w:szCs w:val="28"/>
    </w:rPr>
  </w:style>
  <w:style w:type="paragraph" w:styleId="Style41" w:customStyle="1">
    <w:name w:val="Style4"/>
    <w:basedOn w:val="Normal"/>
    <w:qFormat/>
    <w:rsid w:val="00f949e7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Default" w:customStyle="1">
    <w:name w:val="Default"/>
    <w:qFormat/>
    <w:rsid w:val="000a2412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106a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gro-ul.ru/" TargetMode="External"/><Relationship Id="rId3" Type="http://schemas.openxmlformats.org/officeDocument/2006/relationships/hyperlink" Target="https://pgu.ulregion.ru/" TargetMode="External"/><Relationship Id="rId4" Type="http://schemas.openxmlformats.org/officeDocument/2006/relationships/hyperlink" Target="https://vashkontrol.ru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Application>LibreOffice/6.1.3.2$Linux_X86_64 LibreOffice_project/10$Build-2</Application>
  <Pages>16</Pages>
  <Words>3043</Words>
  <Characters>24792</Characters>
  <CharactersWithSpaces>28686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2018-12-03T10:25:00Z</dcterms:created>
  <dc:creator>Пользователь</dc:creator>
  <dc:description/>
  <dc:language>ru-RU</dc:language>
  <cp:lastModifiedBy/>
  <cp:lastPrinted>2019-06-14T15:28:19Z</cp:lastPrinted>
  <dcterms:modified xsi:type="dcterms:W3CDTF">2019-07-03T15:47:13Z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