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10915" w:right="96" w:hanging="0"/>
        <w:jc w:val="center"/>
        <w:rPr/>
      </w:pPr>
      <w:r>
        <w:rPr/>
      </w:r>
    </w:p>
    <w:p>
      <w:pPr>
        <w:pStyle w:val="Standard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Отчёт об исполнении государственной программы по итогам 1 квартала 2019 года</w:t>
      </w:r>
    </w:p>
    <w:p>
      <w:pPr>
        <w:pStyle w:val="Standard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2014-2021 годы»</w:t>
      </w:r>
    </w:p>
    <w:p>
      <w:pPr>
        <w:pStyle w:val="Standard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before="0" w:after="0"/>
        <w:jc w:val="both"/>
        <w:rPr/>
      </w:pPr>
      <w:r>
        <w:rPr>
          <w:b w:val="false"/>
          <w:bCs w:val="false"/>
          <w:sz w:val="24"/>
          <w:szCs w:val="24"/>
        </w:rPr>
        <w:t>1. Программные мероприятия выполнены своевременно в запланированном объёме.</w:t>
      </w:r>
    </w:p>
    <w:p>
      <w:pPr>
        <w:pStyle w:val="Standard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Заключены следующие соглашения с Минсельхозом России на получение субсидий из федерального бюджета: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737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Соглашение (от 08.02.2019 № 082-09-2019-154) о предоставлении субсидии бюджету субъекта Российской Федерации из федерального бюджета на содействие достижению целевых показателей региональных программ развития агропромышленного комплекса;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737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Соглашение (от 19.03. 2019 № 082-17-2019-056) о предоставлении иного межбюджетного трансферта, имеющего целевое назначение, из федерального бюджета бюджету субъекта Российской Федерации  на возмещение части затрат на уплату процентов по инвестиционным кредитам (займам) в агропромышленном комплексе;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737"/>
        <w:jc w:val="both"/>
        <w:rPr/>
      </w:pP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Cоглашение (от 04.02.2019 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№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 082-09-2019-076) о предоставлении субсидии из федерального бюджета бюджету субъекта Российской Федерации на оказание несвязанной поддержки сельскохозяйственным товаропроизводителям в области растениеводства;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737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Cоглашение (от 28.01.2019 № 082-08-2019-079) о предоставлении субсидии из федерального бюджета бюджету субъекта Российской Федерации на повышение продуктивности в молочном скотоводстве;</w:t>
      </w:r>
    </w:p>
    <w:p>
      <w:pPr>
        <w:pStyle w:val="Standard"/>
        <w:snapToGrid w:val="false"/>
        <w:spacing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ab/>
        <w:t xml:space="preserve">Cоглашение (от 12.02.2019 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№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 082-08-2019-287) о предоставлении субсидии из федерального бюджета бюджету субъекта Российской Федерации на обеспечение устойчивого развития сельских территорий в части улучшения жилищных условий граждан, проживающих в сельской местности;</w:t>
      </w:r>
    </w:p>
    <w:p>
      <w:pPr>
        <w:pStyle w:val="Standard"/>
        <w:snapToGrid w:val="false"/>
        <w:spacing w:before="0" w:after="0"/>
        <w:ind w:left="0" w:right="0" w:hanging="0"/>
        <w:jc w:val="both"/>
        <w:rPr/>
      </w:pP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ab/>
        <w:t xml:space="preserve">Cоглашение (от 11.02.2019 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№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 082-07-2019-006) о предоставлении субсидии из федерального бюджета бюджету субъекта Российской Федерации  на обеспечение устойчивого развития сельских территорий в части развития водоснабжения в сельской местности и газификации</w:t>
        <w:br/>
        <w:t>в сельской местности;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/>
      </w:pP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Cоглашение 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(от 08.02.2019 № 082-08-2019-209)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 о предоставлении субсидии из федерального бюджета бюджету субъекта Российской Федерации от 08.02.2019 № 082-08-2019-209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 на обеспечение устойчивого развития сельских территорий в части р</w:t>
      </w:r>
      <w:bookmarkStart w:id="0" w:name="__DdeLink__14873_3431523656"/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еализаци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и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 проектов грантовой поддержки местных инициатив граждан, проживающих в сельской местности;</w:t>
      </w:r>
      <w:bookmarkEnd w:id="0"/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/>
      </w:pP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Cоглашение 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(от 11.02.2019 № 082-07-2019-107) 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 xml:space="preserve">о предоставлении субсидии из федерального бюджета бюджету субъекта Российской Федерации 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zh-CN" w:bidi="ar-SA"/>
        </w:rPr>
        <w:t>на реализацию р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егионального проекта «Развитие системы оказания первичной медико-санитарной помощи», направленный на достижение результатов реализации федерального проекта «Системы оказания первичной медико-санитарной помощи»;</w:t>
      </w:r>
      <w:bookmarkStart w:id="1" w:name="__DdeLink__14872_3431523656"/>
      <w:bookmarkEnd w:id="1"/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/>
      </w:pP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Соглашение (от 06.02.2019 № 082-08-2019-136) о предоставлении субсидии бюджету субъекта Российской Федерации из федерального бюджета на реализацию мероприятий в области мелиорации земель сельскохозяйственного назначения.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/>
      </w:pP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Осуществлён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 при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ё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м документов от сельскохозяйственных товаропроизводителей на предоставление им субсидий.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/>
      </w:pP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П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о мероприятию «Предоставление сельскохозяйственным товаропроизводителям субсидии в целях возмещения части их затрат, связанных с развитием экономической деятельности в области растениеводства» предоставлены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 субсидии 46 % сельскохозяйственных товаропроизводителей, подавших заявки на получение субсидий.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По мероприятию «Оказание несвязанной поддержки сельскохозяйственным товаропроизводителям в области растениеводства» 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предоставлены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 субсидии 89 % сельскохозяйственных товаропроизводителей, подавших заявки на получение субсидий.</w:t>
      </w:r>
    </w:p>
    <w:p>
      <w:pPr>
        <w:pStyle w:val="Normal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По мероприятию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«Поддержка промышленной переработки продукции растениеводства»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предоставлены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субсидии 89 % сельскохозяйственных товаропроизводителей, подавших заявки на получение субсидий.</w:t>
      </w:r>
    </w:p>
    <w:p>
      <w:pPr>
        <w:pStyle w:val="Normal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Осуществлён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 сбор заявок на участие в отборе проектов по созданию и развитию КФХ,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проектов по развитию сельскохозяйственных кооперативов,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семейных животноводческих ферм,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садовых и огороднических товариществ.</w:t>
      </w:r>
    </w:p>
    <w:p>
      <w:pPr>
        <w:pStyle w:val="Normal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Осуществлён с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бор заявок от муниципальных образований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на получение межбюджетных субсидий на реализацию мероприятий по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улучшени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ю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 жилищных условий граждан, проживающих в сельской местности,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развитию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 xml:space="preserve">водоснабжения и газификации в сельской местности, реализацию регионального проекта «Развитие системы оказания первичной медико-санитарной помощи» 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и реализацию проектов грантовой поддержки местных инициатив граждан, проживающих в сельской местности.</w:t>
      </w:r>
    </w:p>
    <w:p>
      <w:pPr>
        <w:pStyle w:val="Standard"/>
        <w:widowControl/>
        <w:suppressAutoHyphens w:val="false"/>
        <w:overflowPunct w:val="true"/>
        <w:bidi w:val="0"/>
        <w:snapToGrid w:val="false"/>
        <w:spacing w:before="0" w:after="0"/>
        <w:ind w:left="0" w:right="0" w:firstLine="68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</w:pPr>
      <w:r>
        <w:rPr>
          <w:rFonts w:eastAsia="Calibri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</w:r>
    </w:p>
    <w:p>
      <w:pPr>
        <w:pStyle w:val="Standard"/>
        <w:spacing w:before="0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>2. Сведения об объёмах финансирования</w:t>
      </w:r>
    </w:p>
    <w:tbl>
      <w:tblPr>
        <w:tblW w:w="5000" w:type="pct"/>
        <w:jc w:val="left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6" w:type="dxa"/>
          <w:bottom w:w="0" w:type="dxa"/>
          <w:right w:w="51" w:type="dxa"/>
        </w:tblCellMar>
      </w:tblPr>
      <w:tblGrid>
        <w:gridCol w:w="2397"/>
        <w:gridCol w:w="1304"/>
        <w:gridCol w:w="1"/>
        <w:gridCol w:w="1246"/>
        <w:gridCol w:w="2"/>
        <w:gridCol w:w="1020"/>
        <w:gridCol w:w="2"/>
        <w:gridCol w:w="683"/>
        <w:gridCol w:w="1"/>
        <w:gridCol w:w="1015"/>
        <w:gridCol w:w="965"/>
        <w:gridCol w:w="1135"/>
        <w:gridCol w:w="572"/>
        <w:gridCol w:w="616"/>
        <w:gridCol w:w="966"/>
        <w:gridCol w:w="965"/>
        <w:gridCol w:w="459"/>
        <w:gridCol w:w="507"/>
        <w:gridCol w:w="1"/>
        <w:gridCol w:w="996"/>
      </w:tblGrid>
      <w:tr>
        <w:trPr>
          <w:tblHeader w:val="true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мероприятия/целевого индикатора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 xml:space="preserve">Распорядитель средств 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Планируемый объем финансирования (на год), тыс. руб.</w:t>
            </w:r>
          </w:p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Предоставленное финансирование (на квартал), тыс. руб.</w:t>
            </w:r>
          </w:p>
        </w:tc>
        <w:tc>
          <w:tcPr>
            <w:tcW w:w="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Освоение за отчётный период, тыс. руб.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>
        <w:trPr>
          <w:tblHeader w:val="true"/>
          <w:trHeight w:val="1079" w:hRule="atLeast"/>
        </w:trPr>
        <w:tc>
          <w:tcPr>
            <w:tcW w:w="2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/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Муниципальный бюджет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/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tabs>
                <w:tab w:val="clear" w:pos="720"/>
                <w:tab w:val="left" w:pos="2138" w:leader="none"/>
              </w:tabs>
              <w:ind w:left="113" w:right="-108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Муниципальный бюджет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/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Муниципальный бюджет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-108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8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Calibri" w:ascii="Times New Roman" w:hAnsi="Times New Roman"/>
                <w:b/>
                <w:sz w:val="16"/>
                <w:szCs w:val="16"/>
              </w:rPr>
              <w:t>Подпрограмма 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Развитие сельского хозяйства</w:t>
            </w:r>
            <w:r>
              <w:rPr>
                <w:rFonts w:cs="Calibri" w:ascii="Times New Roman" w:hAnsi="Times New Roman"/>
                <w:b/>
                <w:sz w:val="16"/>
                <w:szCs w:val="16"/>
              </w:rPr>
              <w:t>»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6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«Развитие подотрасли растениеводства», всего, в том числе: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 (далее – Министерство)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48429,40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21630,78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Соглашение о предоставлении субсидии бюджету субъекта Российской Федерации из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федерального бюджета от 08.02.2019 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No 082-09-2019-154;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Соглашение о предоставлении иного межбюджетного трансферта, имеющего целевое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назначение, из федерального бюджета бюджету субъекта Российской Федерации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от 19.03. 2019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No 082-17-2019-056;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Российской Федерации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04.02.2019 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No 082-09-2019-076;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Российской Федерации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28.01.2019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No 082-08-2019-079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42929,40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9423,48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закладкой и уходом за многолетними плодовыми и ягодными насаждениями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5500,00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1207,30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Предоставление сельскохозяйственным товаропроизводителям субсидии в целях возмещения части их затрат, связанных с </w:t>
            </w:r>
            <w:r>
              <w:rPr>
                <w:sz w:val="16"/>
                <w:szCs w:val="16"/>
              </w:rPr>
              <w:t xml:space="preserve">производством овощей </w:t>
            </w:r>
            <w:r>
              <w:rPr>
                <w:sz w:val="16"/>
                <w:szCs w:val="16"/>
                <w:lang w:eastAsia="ru-RU"/>
              </w:rPr>
              <w:t>в защищённом и (или) открытом грунте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10000,00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1.4. </w:t>
            </w: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  <w:br/>
              <w:t>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1000,00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«Развитие подотрасли животноводства и скотоводства»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68096,20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31365,03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39910,032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spacing w:val="-4"/>
                <w:sz w:val="16"/>
                <w:szCs w:val="16"/>
              </w:rPr>
              <w:t xml:space="preserve"> производством продукции животноводства и птицеводства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14917,35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39910,032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sz w:val="16"/>
                <w:szCs w:val="16"/>
              </w:rPr>
              <w:t xml:space="preserve"> деятельностью в области племенного животноводства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30376,50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6668,01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направленных на</w:t>
            </w:r>
            <w:r>
              <w:rPr>
                <w:sz w:val="16"/>
                <w:szCs w:val="16"/>
              </w:rPr>
              <w:t xml:space="preserve"> повышение продуктивности в молочном скотоводстве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37719,70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8279,93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1499,74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растениеводства»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143417,20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1509054,37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113730,882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360849,013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145377,21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113849,013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503,48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3292,68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128417,20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39881,00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113730,882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24965,316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1320000,00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247000,0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животноводства и скотоводства»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77950,27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75444,10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2067,15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439,02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«Поддержка малых форм хозяйствования»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141958,00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91661,58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Предоставление грантов в форме субсидий на поддержку начинающих фермеров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45000,00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9878,05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35000,00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7682,93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субсидий в целях возмещения части затрат, связанных с развитием их экономической деятельности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22500,00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36948,00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8110,60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25010,00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5490,00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 xml:space="preserve">Министерство 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val="725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1"/>
                <w:numId w:val="4"/>
              </w:numPr>
              <w:spacing w:before="0" w:after="0"/>
              <w:ind w:left="0" w:right="0" w:hanging="0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Предоставление образовательным организациям высшего образования, находящимся</w:t>
              <w:br/>
              <w:t>на территории Ульяновской области, грантов</w:t>
              <w:br/>
              <w:t>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области, а также некоммерческим организациям, находящимся на территории Ульяновской области, грантов в форме субсидий</w:t>
              <w:br/>
              <w:t>в целях финансового обеспечения их затрат, связанных с реализацией проекта по разработке и внедрению в организациях Ульяновской области, осуществляющих производство и/или переработку продукции сельского хозяйства, прогнозно-аналитического инструментария, ориентированного на выявление резервов роста экономической эффективности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19000,0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«Техническая и технологическая модернизация, инновационное развитие»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8600,00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3100,0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4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«Региональный  проект «Создание системы поддержки фермеров и развитие сельской кооперации на территории Ульяновской области», направленный на достижение результатов реализации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185490,00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5736,80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589390,8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1745998,831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113730,882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  <w:t>425724,361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113730,882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  <w:t>425724,361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148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7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170356,50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250565,72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Российской Федерации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12.02.2019 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082-08-2019-287;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Российской Федерации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11.02.2019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082-07-2019-006;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12756,40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12756,40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Министерство  энергетики,  жилищно-коммунального комплекса и городской среды  Ульяновской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12752,20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20127,00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napToGrid w:val="false"/>
              <w:ind w:left="0" w:right="96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  энергетики,  жилищно-коммунального комплекса и городской среды  Ульяновской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19224,70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25368,00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сети автомобильных дорог, ведущих к общественно значимым объектам сельских населённых пунктов, объектам производства и переработки сельскохозяйственной продукции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 промышленнности и транспорта Ульяновской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125623,20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178314,32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Реконструкция автомобильной дороги НиБарыш-Инза-Карсун-Урено-Карлинское -Юлово Инзенского района Ульяновской области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 промышленнности и транспорта Ульяновской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92989,65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131993,02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Строительство автомобильной дороги</w:t>
            </w:r>
          </w:p>
          <w:p>
            <w:pPr>
              <w:pStyle w:val="Standard"/>
              <w:spacing w:before="0" w:after="0"/>
              <w:ind w:left="0" w:right="0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 автомобильной дороги регионального значения Инза – Оськино граница области до ФАПа в п.Свет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 промышленнности и транспорта Ульяновской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9941,46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14111,29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Строительство автомобильной дороги</w:t>
            </w:r>
          </w:p>
          <w:p>
            <w:pPr>
              <w:pStyle w:val="Standard"/>
              <w:spacing w:before="0" w:after="0"/>
              <w:ind w:left="0" w:right="0" w:hanging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 автомобильной дороги на территории муниципального образования «Новомалыклинское сельское поселение» Новомалыклинского района Ульяновской области (1 этап)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 промышленнности и транспорта Ульяновской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22692,09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32210,01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со строительством жилых помещений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17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сети плоскостных спортивных сооружений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 строительства и архитектуры Ульяновской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8500,0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1040,50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19600,00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Российской Федерации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08.02.2019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082-08-2019-209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1040,50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5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14600,0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«региональный  проект «Развитие системы оказания первичной медико-санитарной помощи», направленного на достижение результатов реализации федерального проекта «Системы оказания первичной медико-санитарной помощи»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 строительства и архитектуры Ульяновской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2209,80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27451,00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Российской Федерации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11.02.2019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 082-07-2019-107</w:t>
            </w:r>
          </w:p>
        </w:tc>
      </w:tr>
      <w:tr>
        <w:trPr/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173606,8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297616,72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48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8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«Восстановление мелиоративных систем и 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17223,00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24000,00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115870,3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Соглашение о предоставлении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субсидии бюджету субъекта Российской Федерации из федерального бюджета от</w:t>
            </w:r>
          </w:p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06.02.2019 </w:t>
              <w:br/>
              <w:t>No 082-08-2019-136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3719,30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36870,3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1162,35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255,15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25000,0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культуртехнических мероприятий на мелиорируемых землях, вовлекаемых в сельскохозяйственный оборот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13525,55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16060,65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27000,0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3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27000,0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17223,0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24000,0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115870,3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85" w:type="dxa"/>
            </w:tcMar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48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«Обеспечение реализации государственных программ, государственным заказчиком - координатором которых является Министерство агропромышленного комплекса и развития сельских территорий Ульяновской области»</w:t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9"/>
              </w:numPr>
              <w:tabs>
                <w:tab w:val="clear" w:pos="720"/>
                <w:tab w:val="left" w:pos="284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«Содержание аппарата Министерства и подведомственных Министерству учреждений»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73605,27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12823,556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12823,556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2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Министерства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46155,07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8433,556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8433,556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1"/>
                <w:numId w:val="2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Министерство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27450,20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4390,0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4390,0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58" w:hRule="atLeast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73605,27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  <w:t>12823,556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  <w:t>12823,556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0"/>
              </w:numPr>
              <w:tabs>
                <w:tab w:val="clear" w:pos="720"/>
                <w:tab w:val="left" w:pos="426" w:leader="none"/>
              </w:tabs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государственной программе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780220,6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2141220,82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115870,3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113730,882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  <w:t>438547,917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113730,882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kern w:val="2"/>
                <w:sz w:val="16"/>
                <w:szCs w:val="16"/>
                <w:lang w:val="ru-RU" w:eastAsia="zh-CN" w:bidi="ar-SA"/>
              </w:rPr>
              <w:t>425724,361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Standard"/>
        <w:spacing w:before="0" w:after="0"/>
        <w:jc w:val="center"/>
        <w:rPr/>
      </w:pPr>
      <w:r>
        <w:rPr/>
      </w:r>
    </w:p>
    <w:p>
      <w:pPr>
        <w:pStyle w:val="Style28"/>
        <w:numPr>
          <w:ilvl w:val="0"/>
          <w:numId w:val="1"/>
        </w:numPr>
        <w:spacing w:before="0" w:after="0"/>
        <w:contextualSpacing/>
        <w:jc w:val="center"/>
        <w:rPr/>
      </w:pPr>
      <w:r>
        <w:rPr/>
        <w:t>3. Сведения о достижении целевых индикаторов</w:t>
      </w:r>
    </w:p>
    <w:p>
      <w:pPr>
        <w:pStyle w:val="Standard"/>
        <w:spacing w:before="0" w:after="0"/>
        <w:jc w:val="center"/>
        <w:rPr/>
      </w:pPr>
      <w:r>
        <w:rPr/>
      </w:r>
    </w:p>
    <w:p>
      <w:pPr>
        <w:pStyle w:val="Standard"/>
        <w:spacing w:before="0" w:after="0"/>
        <w:jc w:val="center"/>
        <w:rPr/>
      </w:pPr>
      <w:r>
        <w:rPr/>
      </w:r>
    </w:p>
    <w:p>
      <w:pPr>
        <w:pStyle w:val="Standard"/>
        <w:spacing w:before="0" w:after="0"/>
        <w:jc w:val="center"/>
        <w:rPr/>
      </w:pPr>
      <w:r>
        <w:rPr/>
      </w:r>
    </w:p>
    <w:p>
      <w:pPr>
        <w:pStyle w:val="Standard"/>
        <w:spacing w:before="0" w:after="0"/>
        <w:jc w:val="center"/>
        <w:rPr/>
      </w:pPr>
      <w:r>
        <w:rPr/>
      </w:r>
    </w:p>
    <w:tbl>
      <w:tblPr>
        <w:tblW w:w="15462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0" w:type="dxa"/>
          <w:bottom w:w="0" w:type="dxa"/>
          <w:right w:w="85" w:type="dxa"/>
        </w:tblCellMar>
      </w:tblPr>
      <w:tblGrid>
        <w:gridCol w:w="425"/>
        <w:gridCol w:w="1843"/>
        <w:gridCol w:w="7796"/>
        <w:gridCol w:w="992"/>
        <w:gridCol w:w="1276"/>
        <w:gridCol w:w="1276"/>
        <w:gridCol w:w="1853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Наименование подпрограммы (раздела), мероприятия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Процент достижения целевого индикатора (Факт/План)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Подпрограмма  «Развитие сельского хозяйства»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Основное мероприятие «Развитие подотрасли растениеводства»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Официальная статистическая информация Федеральной службы государственной статистики поступит в мае 2019 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/>
                <w:sz w:val="16"/>
                <w:szCs w:val="16"/>
              </w:rPr>
              <w:t>Размер посевных площадей, занятых зерновыми, зернобобовыми и кормовыми сельскохозяйственными культурами</w:t>
            </w:r>
            <w:r>
              <w:rPr>
                <w:sz w:val="16"/>
                <w:szCs w:val="16"/>
              </w:rPr>
              <w:t>,  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724,5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Доля площади, засеваемая элитными семенами в общей площади посевов,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Степень достижения целевого индикатора определяется начиная с итогов 2 квартала текущего года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Объём производства семенного картофеля,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1452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Объём реализованного семенного картофеля,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Объём семенного картофеля, направленного на посадку (посев) в целях размножения,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Валовой сбор продукции растениеводства в хозяйствах всех категорий, тыс. тонн: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зерновых и зернобобовых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1054,2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сахарной свеклы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278,7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картофеля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овощей открытого грунта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Площадь закладки многолетних насаждений, тыс.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/>
            </w:pPr>
            <w:r>
              <w:rPr>
                <w:b/>
                <w:sz w:val="16"/>
                <w:szCs w:val="16"/>
              </w:rPr>
              <w:t>Основное мероприятие «Оказание мер государственной поддержки производства и переработки и реализации продукции растениеводства»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Индекс производства пищевых продуктов, включая напитки (в сопоставимых ценах),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Официальная статистическая информация Федеральной службы государственной статистики поступит в мае 2019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начиная с итогов 2 квартала текущего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Основное мероприятие «Развитие подотрасли животноводства и скотоводства»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18"/>
                <w:szCs w:val="18"/>
                <w:lang w:eastAsia="zh-CN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Официальная статистическая информация Федеральной службы государственной статистики поступит в мае 2019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/>
            </w:pPr>
            <w:r>
              <w:rPr>
                <w:sz w:val="16"/>
                <w:szCs w:val="16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/>
            </w:pPr>
            <w:r>
              <w:rPr>
                <w:sz w:val="16"/>
                <w:szCs w:val="16"/>
              </w:rPr>
              <w:t>Племенное условное маточное поголовье сельскохозяйственных животных, тыс. условных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8,005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достижения целевого индикатора определяется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/>
            </w:pPr>
            <w:r>
              <w:rPr>
                <w:sz w:val="16"/>
                <w:szCs w:val="16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/>
            </w:pPr>
            <w:r>
              <w:rPr>
                <w:sz w:val="16"/>
                <w:szCs w:val="1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8,193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8,1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0,99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rFonts w:ascii="Liberation Serif" w:hAnsi="Liberation Serif" w:eastAsia="Tahoma" w:cs="Noto Sans Devanagari"/>
                <w:color w:val="auto"/>
                <w:kern w:val="2"/>
                <w:sz w:val="16"/>
                <w:szCs w:val="16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16"/>
                <w:szCs w:val="16"/>
                <w:lang w:val="ru-RU" w:eastAsia="zh-CN" w:bidi="hi-IN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Liberation Serif" w:hAnsi="Liberation Serif" w:eastAsia="Tahoma" w:cs="Noto Sans Devanagari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Tahoma" w:cs="Noto Sans Devanagari"/>
                <w:color w:val="auto"/>
                <w:kern w:val="2"/>
                <w:sz w:val="18"/>
                <w:szCs w:val="18"/>
                <w:lang w:val="ru-RU" w:eastAsia="zh-CN" w:bidi="hi-IN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  <w:lang w:eastAsia="zh-CN"/>
              </w:rPr>
              <w:t>Основное мероприятие «Оказание мер государственной поддержки производства и переработки и реализации продукции животноводства и скотоводства»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/>
            </w:pPr>
            <w:r>
              <w:rPr>
                <w:sz w:val="16"/>
                <w:szCs w:val="16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16,453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достижения целевого индикатора определяется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Производство молока в хозяйствах всех категорий, тыс.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46,79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достижения целевого индикатора определяется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предпринимателей, тыс. тонн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достижения целевого индикатора определяется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  <w:lang w:eastAsia="zh-CN"/>
              </w:rPr>
              <w:t>Основное мероприятие «Поддержка малых форм хозяйствования»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Прирост годового объема сельскохозяйственной продукции, произведенной крестьянскими (фермерскими) хозяйствами, получившими средства грантовой поддержки, к годовому объему сельскохозяйственной продукции, произведенной ими в году, предшествующем году предоставления субсидии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сельскохозяйственных потребительских кооперативов, развивших свою материально-техническую базу с помощью грантовой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Прирост годового объема сельскохозяйственной продукции, реализованной сельскохозяйственными потребительскими кооперативами, получившими средства грантовой поддержки, к годовому объему сельскохозяйственной продукции, произведенной ими в году, предшествующем году предоставления субсидии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Объем производства (выращивания) товарной рыбы и других объектов промышленного рыбоводства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Количество,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Основное мероприятие «Техническая и технологическая модернизация, инновационное развитие»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Рентабельность сельскохозяйственных организаций (с учетом субсидий),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Индекс производительности труда к предыдущему году,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Официальная статистическая информация Федеральной службы государственной статистики поступит в мае 2019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Количество рабочих мест, тыс.ед.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Среднемесячная заработная плата работников сельского хозяйства (без субъектов малого предпринимательства),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Официальная статистическая информация Федеральной службы государственной статистики поступит в мае 2019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Объём ввода жилых помещений в эксплуатацию (приобретение жилых помещений) для граждан, проживающих в сельской местности, тыс. кв. 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для молодых семей и молодых специалистов, тыс. кв. м.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MS Mincho;ＭＳ 明朝"/>
                <w:sz w:val="16"/>
                <w:szCs w:val="16"/>
                <w:lang w:eastAsia="zh-CN"/>
              </w:rPr>
              <w:t>для граждан, кроме молодых семей и молодых специалистов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Протяженность введенных в эксплуатацию распределительных газовых сетей, км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Протяженность введенных в эксплуатацию локальных водопроводов, км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км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Общее количество введенных в эксплуатацию фельдшерско-акушерских пунктов и (или) офисов врача общей практики, ед.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rFonts w:ascii="Liberation Serif" w:hAnsi="Liberation Serif"/>
              </w:rPr>
            </w:pPr>
            <w:r>
              <w:rPr>
                <w:sz w:val="16"/>
                <w:szCs w:val="16"/>
              </w:rPr>
              <w:t>Количество введенных в эксплуатацию плоскостных спортивных сооружений,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хозяйствующих субъектов, занятых в сфере розничной торговли,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стационарных торговых объектов,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8250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Обеспеченность населения площадью торговых объектов, кв. метров на 1000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Количество нестационарных торговых объектов,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2790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Доля оборота розничной торговли, осуществляемой дистанционным способом продажи товаров, в общем объеме оборота розничной торговли, 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Оборот розничной торговли субъектов малого и среднего предпринимательства, млрд.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Индекс физического объема оборота розничной торговли, 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28" w:hang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Оборот розничной торговли на душу населения,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MS Mincho;ＭＳ 明朝"/>
                <w:sz w:val="16"/>
                <w:szCs w:val="16"/>
                <w:lang w:eastAsia="zh-CN"/>
              </w:rPr>
              <w:t>Количество реализованных проектов  местных инициатив граждан, проживающих в сельской местности, получивших грантовую поддержку, ед.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Основное мероприятие «Восстановление мелиоративных систем и 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Liberation Serif" w:hAnsi="Liberation Serif" w:eastAsia="Tahoma" w:cs="Noto Sans Devanagari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16"/>
                <w:szCs w:val="16"/>
                <w:u w:val="none"/>
                <w:lang w:val="ru-RU" w:eastAsia="zh-CN" w:bidi="hi-IN"/>
              </w:rPr>
            </w:pPr>
            <w:r>
              <w:rPr>
                <w:rFonts w:eastAsia="Tahoma" w:cs="Noto Sans Devanagari"/>
                <w:b w:val="false"/>
                <w:i w:val="false"/>
                <w:strike w:val="false"/>
                <w:dstrike w:val="false"/>
                <w:color w:val="auto"/>
                <w:kern w:val="2"/>
                <w:sz w:val="16"/>
                <w:szCs w:val="16"/>
                <w:u w:val="none"/>
                <w:lang w:val="ru-RU" w:eastAsia="zh-CN" w:bidi="hi-IN"/>
              </w:rP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Liberation Serif" w:hAnsi="Liberation Serif" w:eastAsia="Tahoma" w:cs="Noto Sans Devanagari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16"/>
                <w:szCs w:val="16"/>
                <w:u w:val="none"/>
                <w:lang w:val="ru-RU" w:eastAsia="zh-CN" w:bidi="hi-IN"/>
              </w:rPr>
            </w:pPr>
            <w:r>
              <w:rPr>
                <w:rFonts w:eastAsia="Tahoma" w:cs="Noto Sans Devanagari"/>
                <w:b w:val="false"/>
                <w:i w:val="false"/>
                <w:strike w:val="false"/>
                <w:dstrike w:val="false"/>
                <w:color w:val="auto"/>
                <w:kern w:val="2"/>
                <w:sz w:val="16"/>
                <w:szCs w:val="16"/>
                <w:u w:val="none"/>
                <w:lang w:val="ru-RU" w:eastAsia="zh-CN" w:bidi="hi-IN"/>
              </w:rPr>
              <w:t>Вовлечение в оборот выбывших из оборота сельскохозяйственных угодий за счет проведения культуртехнических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1,368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Liberation Serif" w:hAnsi="Liberation Serif" w:eastAsia="Tahoma" w:cs="Noto Sans Devanagari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kern w:val="2"/>
                <w:sz w:val="16"/>
                <w:szCs w:val="16"/>
                <w:u w:val="none"/>
                <w:lang w:val="ru-RU" w:eastAsia="zh-CN" w:bidi="hi-IN"/>
              </w:rPr>
            </w:pPr>
            <w:r>
              <w:rPr>
                <w:rFonts w:eastAsia="Tahoma" w:cs="Noto Sans Devanagari"/>
                <w:b w:val="false"/>
                <w:i w:val="false"/>
                <w:strike w:val="false"/>
                <w:dstrike w:val="false"/>
                <w:color w:val="auto"/>
                <w:kern w:val="2"/>
                <w:sz w:val="16"/>
                <w:szCs w:val="16"/>
                <w:u w:val="none"/>
                <w:lang w:val="ru-RU" w:eastAsia="zh-CN" w:bidi="hi-IN"/>
              </w:rPr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</w:rPr>
        <w:t>СВЕДЕНИЯ</w:t>
      </w:r>
    </w:p>
    <w:p>
      <w:pPr>
        <w:pStyle w:val="Normal"/>
        <w:jc w:val="center"/>
        <w:rPr/>
      </w:pPr>
      <w:r>
        <w:rPr>
          <w:color w:val="000000"/>
        </w:rPr>
        <w:t xml:space="preserve">о внесенных изменениях в государственную программу </w:t>
      </w:r>
    </w:p>
    <w:p>
      <w:pPr>
        <w:pStyle w:val="Normal"/>
        <w:jc w:val="center"/>
        <w:rPr/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2014-2021 годы»  за 2019 год</w:t>
      </w:r>
    </w:p>
    <w:p>
      <w:pPr>
        <w:pStyle w:val="Normal"/>
        <w:jc w:val="center"/>
        <w:rPr/>
      </w:pPr>
      <w:r>
        <w:rPr>
          <w:color w:val="000000"/>
        </w:rPr>
        <w:t>(</w:t>
      </w:r>
      <w:r>
        <w:rPr>
          <w:color w:val="000000"/>
          <w:sz w:val="24"/>
        </w:rPr>
        <w:t>наименование государственной программы</w:t>
      </w:r>
      <w:r>
        <w:rPr>
          <w:color w:val="000000"/>
        </w:rPr>
        <w:t>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1491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0" w:type="dxa"/>
          <w:bottom w:w="75" w:type="dxa"/>
          <w:right w:w="0" w:type="dxa"/>
        </w:tblCellMar>
      </w:tblPr>
      <w:tblGrid>
        <w:gridCol w:w="659"/>
        <w:gridCol w:w="4726"/>
        <w:gridCol w:w="4960"/>
        <w:gridCol w:w="4568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Постановление Правительства Ульяновской области от 20.02.2019 № 4/67-П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Изменения в План-график  внесены распоряжением Министерства от 19.03.2019 № 179 </w:t>
            </w:r>
          </w:p>
        </w:tc>
      </w:tr>
    </w:tbl>
    <w:p>
      <w:pPr>
        <w:pStyle w:val="Normal"/>
        <w:ind w:left="0" w:right="0" w:firstLine="709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851" w:header="709" w:top="1247" w:footer="0" w:bottom="851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12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  <w:rPr>
        <w:sz w:val="16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  <w:rPr>
        <w:b w:val="false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Standard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Times New Roman" w:cs="Noto Sans Devanagari"/>
      <w:b/>
      <w:bCs/>
      <w:color w:val="auto"/>
      <w:kern w:val="2"/>
      <w:sz w:val="32"/>
      <w:szCs w:val="32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b w:val="false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Style13">
    <w:name w:val="Верхний колонтитул Знак"/>
    <w:qFormat/>
    <w:rPr>
      <w:sz w:val="28"/>
      <w:szCs w:val="22"/>
    </w:rPr>
  </w:style>
  <w:style w:type="character" w:styleId="Style14">
    <w:name w:val="Нижний колонтитул Знак"/>
    <w:qFormat/>
    <w:rPr>
      <w:sz w:val="28"/>
      <w:szCs w:val="22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6">
    <w:name w:val="Текст примечания Знак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b w:val="false"/>
      <w:sz w:val="16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sz w:val="16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ascii="Times New Roman" w:hAnsi="Times New Roman"/>
      <w:b w:val="false"/>
      <w:sz w:val="16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ascii="Times New Roman" w:hAnsi="Times New Roman"/>
      <w:b w:val="false"/>
      <w:sz w:val="16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rFonts w:ascii="Times New Roman" w:hAnsi="Times New Roman"/>
      <w:b w:val="false"/>
      <w:sz w:val="16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ascii="Times New Roman" w:hAnsi="Times New Roman"/>
      <w:b w:val="false"/>
      <w:sz w:val="16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  <w:sz w:val="16"/>
    </w:rPr>
  </w:style>
  <w:style w:type="character" w:styleId="ListLabel14">
    <w:name w:val="ListLabel 14"/>
    <w:qFormat/>
    <w:rPr>
      <w:b w:val="false"/>
    </w:rPr>
  </w:style>
  <w:style w:type="character" w:styleId="Style18">
    <w:name w:val="Символ нумерации"/>
    <w:qFormat/>
    <w:rPr/>
  </w:style>
  <w:style w:type="character" w:styleId="ListLabel15">
    <w:name w:val="ListLabel 15"/>
    <w:qFormat/>
    <w:rPr>
      <w:rFonts w:ascii="Times New Roman" w:hAnsi="Times New Roman"/>
      <w:b w:val="false"/>
      <w:sz w:val="16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ascii="Times New Roman" w:hAnsi="Times New Roman"/>
      <w:b w:val="false"/>
      <w:sz w:val="16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ascii="Times New Roman" w:hAnsi="Times New Roman"/>
      <w:b w:val="false"/>
      <w:sz w:val="16"/>
    </w:rPr>
  </w:style>
  <w:style w:type="character" w:styleId="ListLabel20">
    <w:name w:val="ListLabel 20"/>
    <w:qFormat/>
    <w:rPr>
      <w:b w:val="false"/>
    </w:rPr>
  </w:style>
  <w:style w:type="paragraph" w:styleId="Style19">
    <w:name w:val="Заголовок"/>
    <w:basedOn w:val="Normal"/>
    <w:next w:val="Textbody"/>
    <w:qFormat/>
    <w:pPr>
      <w:keepNext w:val="true"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Tahoma" w:cs="Noto Sans Devanagari"/>
      <w:color w:val="auto"/>
      <w:kern w:val="2"/>
      <w:sz w:val="24"/>
      <w:szCs w:val="28"/>
      <w:lang w:val="ru-RU" w:eastAsia="zh-CN" w:bidi="hi-IN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>
      <w:widowControl w:val="false"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widowControl w:val="false"/>
      <w:suppressLineNumbers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andard">
    <w:name w:val="Standard"/>
    <w:qFormat/>
    <w:pPr>
      <w:widowControl/>
      <w:suppressAutoHyphens w:val="false"/>
      <w:overflowPunct w:val="true"/>
      <w:bidi w:val="0"/>
      <w:spacing w:before="120" w:after="0"/>
      <w:ind w:left="0" w:right="96" w:firstLine="709"/>
      <w:jc w:val="both"/>
    </w:pPr>
    <w:rPr>
      <w:rFonts w:ascii="Times New Roman" w:hAnsi="Times New Roman" w:eastAsia="Calibri" w:cs="Times New Roman"/>
      <w:color w:val="auto"/>
      <w:kern w:val="2"/>
      <w:sz w:val="28"/>
      <w:szCs w:val="22"/>
      <w:lang w:val="ru-RU" w:eastAsia="zh-CN" w:bidi="ar-SA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Header"/>
    <w:basedOn w:val="Standar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Standar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Standard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ind w:left="0" w:right="96" w:firstLine="709"/>
      <w:jc w:val="both"/>
    </w:pPr>
    <w:rPr>
      <w:rFonts w:ascii="Times New Roman" w:hAnsi="Times New Roman" w:eastAsia="Calibri" w:cs="Times New Roman"/>
      <w:color w:val="auto"/>
      <w:kern w:val="2"/>
      <w:sz w:val="28"/>
      <w:szCs w:val="22"/>
      <w:lang w:val="ru-RU" w:eastAsia="zh-CN" w:bidi="ar-SA"/>
    </w:rPr>
  </w:style>
  <w:style w:type="paragraph" w:styleId="ConsPlusNormal">
    <w:name w:val="ConsPlusNormal"/>
    <w:qFormat/>
    <w:pPr>
      <w:widowControl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Содержимое таблицы"/>
    <w:basedOn w:val="Standard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jc w:val="center"/>
    </w:pPr>
    <w:rPr>
      <w:b/>
      <w:bCs/>
    </w:rPr>
  </w:style>
  <w:style w:type="paragraph" w:styleId="Style28">
    <w:name w:val="Абзац списка"/>
    <w:basedOn w:val="Normal"/>
    <w:qFormat/>
    <w:pPr>
      <w:spacing w:before="0" w:after="0"/>
      <w:ind w:left="720" w:right="0" w:hanging="0"/>
      <w:contextualSpacing/>
    </w:pPr>
    <w:rPr>
      <w:szCs w:val="24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14811</TotalTime>
  <Application>LibreOffice/6.1.3.2$Linux_X86_64 LibreOffice_project/10$Build-2</Application>
  <Pages>19</Pages>
  <Words>4298</Words>
  <Characters>31271</Characters>
  <CharactersWithSpaces>34337</CharactersWithSpaces>
  <Paragraphs>1248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2019-04-19T13:51:00Z</dcterms:created>
  <dc:creator>Желудкина</dc:creator>
  <dc:description/>
  <dc:language>ru-RU</dc:language>
  <cp:lastModifiedBy/>
  <cp:lastPrinted>2019-04-19T09:40:32Z</cp:lastPrinted>
  <dcterms:modified xsi:type="dcterms:W3CDTF">2019-04-19T15:12:48Z</dcterms:modified>
  <cp:revision>17</cp:revision>
  <dc:subject/>
  <dc:title>Постановление Правительства Ульяновской области от 11.09.2013 N 37/420-П(ред. от 20.02.2019)"Об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