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  <w:color w:val="000000"/>
        </w:rPr>
        <w:t>Отчёт об исполнении государственной программы по 2018 года</w:t>
      </w:r>
    </w:p>
    <w:p>
      <w:pPr>
        <w:pStyle w:val="Normal"/>
        <w:jc w:val="center"/>
        <w:rPr>
          <w:u w:val="single"/>
        </w:rPr>
      </w:pPr>
      <w:r>
        <w:rPr>
          <w:color w:val="000000"/>
          <w:u w:val="single"/>
        </w:rPr>
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2014-2021 годы»</w:t>
      </w:r>
    </w:p>
    <w:p>
      <w:pPr>
        <w:pStyle w:val="Normal"/>
        <w:ind w:left="0" w:right="0" w:firstLine="709"/>
        <w:jc w:val="center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</w:r>
    </w:p>
    <w:p>
      <w:pPr>
        <w:pStyle w:val="Norma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  <w:lang w:eastAsia="en-US"/>
        </w:rPr>
        <w:t>При реализации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2014-2021 годы» были достигнуты запланированные результаты и намеченные цели государственной программы, такие как обеспечение продовольственной безопасности Ульяновской области с учетом положений Доктрины продовольственной безопасности Российской Федерации, утвержденной Указом Президента Российской Федерации от 30.01.2010 № 120 "Об утверждении Доктрины продовольственной безопасности Российской Федерации"; повышение финансовой устойчивости сельскохозяйственных товаропроизводителей; воспроизводство и повышение эффективности использования в сельском хозяйстве земельных и других ресурсов, а также экологизация производства; создание комфортных условий жизнедеятельности в сельской местности; стимулирование инвестиционной активности в агропромышленном комплексе на территории Ульяновской области путем создания благоприятных инфраструктурных условий в сельской местности; повышение продуктивности и устойчивости сельскохозяйственного производства и плодородия почв средствами комплексной мелиорации; повышение продукционного потенциала мелиорируемых земель и эффективного использования природных ресурсов.</w:t>
      </w:r>
    </w:p>
    <w:p>
      <w:pPr>
        <w:pStyle w:val="Norma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В рамках реализации подпрограммы «Развитие сельского хозяйства» были достигнуты высокие показатели в области растениеводства и животноводства. В частности, удалось собрать высокий урожай зерновых и зернобобовых культур – 1167,3 тыс.тонн, что значительно превышает плановый показатель. Перевыполнены плановые показатели, связанные с оказанием мер государственной поддержки производства и переработки продукции животноводства. Благодаря государственной поддержке были созданы новые постоянные рабочие места, в крестьянских (фермерских) хозяйствах – 21 место, в сельскохозяйственных производственных кооперативах – 69 мест. Кроме того, удалось стимулировать инновационную деятельность и инновационное развития АПК Ульяновской области, создать условия для эффективного использования земель сельскохозяйственного назначения. Подпрограммой на реализацию мероприятий в 2018 году предусмотрен объём финансирования из всех источников в сумме 1366699,36332 тыс. рублей, освоено по итогам 2018 года 1335844,4531 тыс. рублей.</w:t>
      </w:r>
    </w:p>
    <w:p>
      <w:pPr>
        <w:pStyle w:val="Norma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В рамках подпрограммы «Устойчивое развитие сельских территорий» улучшены условия 184 граждан, проживающих в сельской местности; введено с эксплуатацию 5,334 тыс.кв.м жилых помещений; введено в эксплуатацию 31,07 км газораспределительных сетей; введено в эксплуатацию 15,95 км локальных водопроводов; введено в эксплуатацию 7,357 км автомобильных дорог общего пользования с твердым покрытием; построено введено в эксплуатацию 3 фельдшерско-акушерских пункта. Подпрограммой на реализацию мероприятий в 2018 году предусмотрен объём финансирования из всех источников в сумме 424348,728 тыс. рублей, освоено по итогам 2018 года 268163,359 тыс. рублей.</w:t>
      </w:r>
    </w:p>
    <w:p>
      <w:pPr>
        <w:pStyle w:val="Norma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Выполненные мероприятия в рамках подпрограммы «Развитие мелиорации земель сельскохозяйственного назначения» привели к повышению продуктивности и устойчивости сельскохозяйственного производства и плодородия почв средствами комплексной мелиорации, увеличена площадь земель, введеных и используемых в сельскохозяйственном обороте на 2,472 тыс. га соответственно. Подпрограммой на реализацию мероприятий в 2018 году предусмотрен объём финансирования из всех источников в сумме 181130,44 тыс. рублей, освоено по итогам 2018 года 166674,5 тыс. рублей.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 xml:space="preserve">На реализацию мероприятий государственной программы в 2018 году запланировано выделение средств в объёме 2054968,6949 тыс. рублей, в том числе за счёт бюджетных ассигнований областного бюджета – 1160463,68425 тыс. рублей, за счёт бюджетных ассигнований федерального бюджета – 724546,48065 тыс. рублей, за счёт бюджетных ассигнований муниципальных бюджетов – 1667,09555 тыс. рублей, за счёт внебюджетных средств – 164928,5 тыс. рублей.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 xml:space="preserve">В отчётном периоде освоение средств составило 1633579,5914 тыс. рублей, в том числе за счёт бюджетных ассигнований областного бюджета – 898850,64221 тыс. рублей, за счёт бюджетных ассигнований федерального бюджета – </w:t>
      </w:r>
      <w:r>
        <w:rPr>
          <w:bCs/>
          <w:color w:val="000000"/>
        </w:rPr>
        <w:t>566445,81519</w:t>
      </w:r>
      <w:r>
        <w:rPr>
          <w:color w:val="000000"/>
        </w:rPr>
        <w:t xml:space="preserve"> тыс. рублей, за счёт бюджетных ассигнований муниципальных бюджетов – 3354,634 тыс. рублей, за счёт внебюджетных средств – 164928,5 тыс. рублей. </w:t>
      </w:r>
    </w:p>
    <w:p>
      <w:pPr>
        <w:pStyle w:val="Normal"/>
        <w:numPr>
          <w:ilvl w:val="0"/>
          <w:numId w:val="4"/>
        </w:numPr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>В результате реализации государственной программы было обеспечено достижение установленных значений показателей продовольственной безопасности Ульяновской области.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>Оценка эффективности реализации государственной программы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>Степень достижения значений целевых индикаторов, данные по которым представлены органами статистики Министерству.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>СДЦ(Индекс производства продукции сельского хозяйства в хозяйствах всех категорий (в сопоставимых ценах), % к предыдущему году) - 94,81%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>СДЦ(Индекс производства продукции растениеводства в хозяйствах всех категорий (в сопоставимых ценах), % к предыдущему году) - 100 %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СДЦ(Размер посевных площадей, занятых зерновыми, зернобобовыми и кормовыми сельскохозяйственными культурами,  тыс. га) — 102,1%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СДЦ(Доля площади, засеваемая элитными семенами в общей площади посевов, %) - 133,75%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СДЦ(Объём производства семенного картофеля, тонн) - 90%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Объём реализованного семенного картофеля, тонн ) - 90%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Валовой сбор продукции растениеводства в хозяйствах всех категорий, тыс. тонн:   зерновых и зернобобовых  ) - 113,75%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Валовой сбор продукции растениеводства в хозяйствах всех категорий, тыс. тонн:   сахарной свеклы  ) - 103,21%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предпринимателей, тыс. тонн ) - 103,76%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Площадь закладки многолетних насаждений, тыс. га ) - 10,02 %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>СДЦ ( Индекс производства пищевых продуктов, включая напитки (в сопоставимых ценах), % к предыдущему году ) – 106,1 %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СДЦ ( Размер застрахованных посевных площадей, тыс. га ) – 90 %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Посевная площадь, занятая семенами питомников второго и (или) третьего года размножения зерновых и (или) зернобобовых сельскохозяйственных культур, в общей площади посевов зерновых и зернобобовых сельскохозяйственных культур ) - 122,26 %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Индекс производства продукции животноводства в хозяйствах всех категорий (в сопоставимых ценах), % к предыдущему году ) - 100 %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Племенное условное маточное поголовье сельскохозяйственных животных, тыс. условных голов ) - 100,55%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Реализация племенного молодняка крупного рогатого скота молочных и мясных пород на 100 голов маток, голов ) - 110%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Производство скота и птицы на убой в хозяйствах всех категорий (в живом весе), тыс. тонн ) - 95,86%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Производство молока в хозяйствах всех категорий, тыс. тонн ) - 91,75%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Производство молока в сельскохозяйственных организациях, крестьянских (фермерских) хозяйствах, включая индивидуальных предпринимателей, тыс. тонн  ) - 105,88 %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Численность застрахованного поголовья сельскохозяйственных животных, тыс.усл. голов  ) - 90%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Объём производства (выращивания) товарной рыбы и других объектов промышленного рыбоводства, тонн ) - 148,33%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ед. ) - 100%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>СДЦ ( Количество построенных или реконструированных семейных животноводческих ферм, ед. ) - 100%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Прирост объёма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грантовой поддержки, к году, предшествующему году предоставления субсидии, % к пред.году ) - 100%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Количество сельскохозяйственных потребительских кооперативов, развивших свою материально-техническую базу с помощью грантовой поддержки, ед. ) - 140%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Прирост объёма сельскохозяйственной продукции, реализованной сельскохозяйственными потребительскими кооперативами, получившими средства грантовой поддержки, к году, предшествующему году предоставления субсидии, % к пред. году ) - 90%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граждан, ед. ) - 100%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годом, % к пред. году ) - 90%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Количество созданных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базы, ед. ) - 90% </w:t>
      </w:r>
    </w:p>
    <w:p>
      <w:pPr>
        <w:pStyle w:val="Normal"/>
        <w:ind w:left="709" w:right="0" w:hanging="0"/>
        <w:jc w:val="both"/>
        <w:rPr>
          <w:color w:val="000000"/>
        </w:rPr>
      </w:pPr>
      <w:r>
        <w:rPr>
          <w:color w:val="000000"/>
          <w:lang w:eastAsia="ru-RU"/>
        </w:rPr>
        <w:t xml:space="preserve">СДЦ ( </w:t>
      </w:r>
      <w:r>
        <w:rPr>
          <w:rFonts w:eastAsia="MS Mincho;ＭＳ 明朝"/>
          <w:color w:val="000000"/>
          <w:lang w:eastAsia="ru-RU"/>
        </w:rPr>
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поддержки, ед.</w:t>
      </w:r>
      <w:r>
        <w:rPr>
          <w:color w:val="000000"/>
          <w:lang w:eastAsia="ru-RU"/>
        </w:rPr>
        <w:t xml:space="preserve"> ) - 90% </w:t>
      </w:r>
    </w:p>
    <w:p>
      <w:pPr>
        <w:pStyle w:val="Normal"/>
        <w:ind w:left="709" w:right="0" w:hanging="0"/>
        <w:jc w:val="both"/>
        <w:rPr>
          <w:color w:val="000000"/>
        </w:rPr>
      </w:pPr>
      <w:r>
        <w:rPr>
          <w:color w:val="000000"/>
          <w:lang w:eastAsia="ru-RU"/>
        </w:rPr>
        <w:t xml:space="preserve">СДЦ ( </w:t>
      </w:r>
      <w:r>
        <w:rPr>
          <w:rFonts w:eastAsia="MS Mincho;ＭＳ 明朝"/>
          <w:color w:val="000000"/>
          <w:lang w:eastAsia="ru-RU"/>
        </w:rPr>
        <w:t>Количество участников социально значимых мероприятий, чел.</w:t>
      </w:r>
      <w:r>
        <w:rPr>
          <w:color w:val="000000"/>
          <w:lang w:eastAsia="ru-RU"/>
        </w:rPr>
        <w:t xml:space="preserve"> ) - 100% </w:t>
      </w:r>
    </w:p>
    <w:p>
      <w:pPr>
        <w:pStyle w:val="Normal"/>
        <w:ind w:left="709" w:right="0" w:hanging="0"/>
        <w:jc w:val="both"/>
        <w:rPr>
          <w:color w:val="000000"/>
        </w:rPr>
      </w:pPr>
      <w:r>
        <w:rPr>
          <w:color w:val="000000"/>
          <w:lang w:eastAsia="ru-RU"/>
        </w:rPr>
        <w:t xml:space="preserve">СДЦ ( </w:t>
      </w:r>
      <w:r>
        <w:rPr>
          <w:rFonts w:eastAsia="MS Mincho;ＭＳ 明朝"/>
          <w:color w:val="000000"/>
          <w:lang w:eastAsia="ru-RU"/>
        </w:rPr>
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области, %</w:t>
      </w:r>
      <w:r>
        <w:rPr>
          <w:color w:val="000000"/>
          <w:lang w:eastAsia="ru-RU"/>
        </w:rPr>
        <w:t xml:space="preserve"> ) - 100%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Рентабельности сельскохозяйственных организаций (с учетом субсидий), % ) - 90 %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Индекс производительности труда к предыдущему году, % к предыдущему году ) -100%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Количество высокопроизводительных рабочих мест, тыс.ед. ) -100%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 xml:space="preserve">СДЦ ( Среднемесячная заработная плата работников сельского хозяйства (без субъектов малого предпринимательства), руб.) - 85,940% </w:t>
      </w:r>
    </w:p>
    <w:p>
      <w:pPr>
        <w:pStyle w:val="Normal"/>
        <w:ind w:left="709" w:right="0" w:hanging="0"/>
        <w:jc w:val="both"/>
        <w:rPr>
          <w:lang w:eastAsia="ru-RU"/>
        </w:rPr>
      </w:pPr>
      <w:r>
        <w:rPr>
          <w:color w:val="000000"/>
          <w:lang w:eastAsia="ru-RU"/>
        </w:rPr>
        <w:t>СДЦ ( 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мониторинга, га ) - 100%</w:t>
      </w:r>
    </w:p>
    <w:p>
      <w:pPr>
        <w:pStyle w:val="Normal"/>
        <w:ind w:left="709" w:right="0" w:hanging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СДЦ (Объём ввода жилых помещений в эксплуатацию (приобретение жилых помещений) для граждан, проживающих в сельской местности, тыс. кв. м.) -100 %; </w:t>
      </w:r>
    </w:p>
    <w:p>
      <w:pPr>
        <w:pStyle w:val="Normal"/>
        <w:ind w:left="709" w:right="0" w:hanging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СДЦ (Объём ввода жилых помещений в эксплуатацию (приобретение жилых помещений) для молодых семей и молодых специалистов, тыс. кв. м.  - 100,0 %;</w:t>
      </w:r>
    </w:p>
    <w:p>
      <w:pPr>
        <w:pStyle w:val="Normal"/>
        <w:ind w:left="709" w:right="0" w:hanging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СДЦ (Протяженность введенных в эксплуатацию распределительных газовых сетей, км) -109,02%;</w:t>
      </w:r>
    </w:p>
    <w:p>
      <w:pPr>
        <w:pStyle w:val="Normal"/>
        <w:ind w:left="709" w:right="0" w:hanging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СДЦ (Протяженность введенных в эксплуатацию локальных водопроводов, км ) - 129,67 %;</w:t>
      </w:r>
    </w:p>
    <w:p>
      <w:pPr>
        <w:pStyle w:val="Normal"/>
        <w:ind w:left="709" w:right="0" w:hanging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СДЦ (Протяженность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км ) - 90%;</w:t>
      </w:r>
    </w:p>
    <w:p>
      <w:pPr>
        <w:pStyle w:val="Normal"/>
        <w:ind w:left="709" w:right="0" w:hanging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СДЦ (Общее количество введенных в эксплуатацию фельдшерско-акушерских пунктов и (или) офисов врача общей практики, ед. ) 150,0 %;</w:t>
      </w:r>
    </w:p>
    <w:p>
      <w:pPr>
        <w:pStyle w:val="Normal"/>
        <w:ind w:left="709" w:right="0" w:hanging="0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СДЦ (Количество введенных в эксплуатацию плоскостных спортивных сооружений, кв.м) - 100 %</w:t>
      </w:r>
    </w:p>
    <w:p>
      <w:pPr>
        <w:pStyle w:val="Normal"/>
        <w:ind w:left="709" w:righ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СДЦ (Ввод в эксплуатацию мелиорируемых земель за счёт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тыс. га ) 10,34%</w:t>
      </w:r>
    </w:p>
    <w:p>
      <w:pPr>
        <w:pStyle w:val="Normal"/>
        <w:ind w:left="709" w:righ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СДЦ (Площадь введенных в оборот ранее не используемых сельскохозяйственных угодий в результате проведения культуртехнических мероприятий, тыс.га) 90 %</w:t>
      </w:r>
    </w:p>
    <w:p>
      <w:pPr>
        <w:pStyle w:val="Normal"/>
        <w:ind w:left="709" w:right="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СДЦ (Защита и сохранение сельскохозяйственных угодий от ветровой эрозии и опустынивания за счёт проведения агролесомелиоративных мероприятий, тыс. га) 0 %</w:t>
      </w:r>
    </w:p>
    <w:p>
      <w:pPr>
        <w:pStyle w:val="Normal"/>
        <w:ind w:left="709" w:right="0" w:hanging="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  <w:t>СДЦ=96,</w:t>
      </w:r>
      <w:r>
        <w:rPr>
          <w:color w:val="000000"/>
        </w:rPr>
        <w:t>6</w:t>
      </w:r>
      <w:r>
        <w:rPr>
          <w:color w:val="000000"/>
        </w:rPr>
        <w:t>%.</w:t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>2)Оценка соотношения фактического и запланированного объёмов финансового обеспечения реализации государственной программы</w:t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  <w:t>УФ=</w:t>
      </w:r>
      <w:r>
        <w:rPr>
          <w:color w:val="000000"/>
        </w:rPr>
        <w:t>99</w:t>
      </w:r>
      <w:r>
        <w:rPr>
          <w:color w:val="000000"/>
        </w:rPr>
        <w:t>,</w:t>
      </w:r>
      <w:r>
        <w:rPr>
          <w:color w:val="000000"/>
        </w:rPr>
        <w:t>0</w:t>
      </w:r>
      <w:r>
        <w:rPr>
          <w:color w:val="000000"/>
        </w:rPr>
        <w:t>.</w:t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>3) Оценка степени достижения плановых значений показателей ожидаемого эффекта от реализации мероприятий государственной программы.</w:t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ab/>
        <w:t>Оценка степени достижения плановых значений показателей ожидаемого эффекта от реализации мероприятий государственной программы</w:t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tbl>
      <w:tblPr>
        <w:tblW w:w="15000" w:type="dxa"/>
        <w:jc w:val="left"/>
        <w:tblInd w:w="186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87"/>
        <w:gridCol w:w="2413"/>
      </w:tblGrid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(удельный вес сельскохозяйственной продукции, произведённой на территории Ульяновской области, з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ерно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120,48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(удельный вес сельскохозяйственной продукции, произведённой на территории Ульяновской области, с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ахар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146,73</w:t>
            </w:r>
          </w:p>
        </w:tc>
      </w:tr>
      <w:tr>
        <w:trPr>
          <w:trHeight w:val="323" w:hRule="atLeast"/>
        </w:trPr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(удельный вес сельскохозяйственной продукции, произведённой на территории Ульяновской области, р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астительное масло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158,56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(удельный вес сельскохозяйственной продукции, произведённой на территории Ульяновской области, к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артофель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102,64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(удельный вес сельскохозяйственной продукции, произведённой на территории Ульяновской области, 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ясо и мясопродукты (в пересчёте на мясо)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98,16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(удельный вес сельскохозяйственной продукции, произведённой на территории Ульяновской области, 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олоко и молочная продукция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95,58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Прирост инвестиций в основной капитал сельского хозяйства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108,7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рентабельности сельскохозяйственного производства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110,17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106,52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(повышение уровня обеспеченности сельских населённых пунктов п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риродным газом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55,88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(п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овышение уровня обеспеченности сельских населённых пунктов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одой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65,42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(повышение уровня обеспеченности сельских населённых пунктов а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втомобильными дорогами, ведущими к объектам производства и переработки сельскохозяйственной продукции, расположенным в границах территорий сельских населённых пунктов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78,13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(повышение уровня обеспеченности 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аселения сельских населённых пунктов медицинскими услугами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44,42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ровень обеспеченности населения Ульяновской области объектами спорта исходя из единовременной пропускной способности объектов спорта, находящихся на территории Ульяновской области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65,79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величение площади мелиорируемых земель за счёт строительства новых и реконструкции имеющихся оросительных систем, а также технического перевооружения оросительных систем, включая мелиоративные системы общего и индивидуального пользования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102,27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Style25"/>
              <w:spacing w:before="0" w:after="14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величение площади используемых сельскохозяйственных угодий за счёт введения в оборот ранее не используемых сельскохозяйственных угодий в результате выполнения культуртехнических работ сельскохозяйственными товаропроизводителями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123,79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величение площади земель, защищённых от водной эрозии, затопления и подтопления за счёт проведения противопаводковых мероприятий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>
        <w:trPr/>
        <w:tc>
          <w:tcPr>
            <w:tcW w:w="125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СДЭ (у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величение площади земель, защищённых от ветровой эрозии и опустынивания за счёт проведения агролесомелиоративных и фитомелиоративных мероприятий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110,96</w:t>
            </w:r>
          </w:p>
        </w:tc>
      </w:tr>
    </w:tbl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  <w:t xml:space="preserve">СДЭ = </w:t>
      </w:r>
      <w:r>
        <w:rPr>
          <w:color w:val="000000"/>
        </w:rPr>
        <w:t>100,8</w:t>
      </w:r>
      <w:r>
        <w:rPr>
          <w:color w:val="000000"/>
        </w:rPr>
        <w:t xml:space="preserve"> %.</w:t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>4) Степень соответствия результатов реализации основных мероприятий, предусмотренных государственной программой, значениям целевых индикаторов государственной программы</w:t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  <w:t>СОМ=100;</w:t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jc w:val="both"/>
        <w:rPr>
          <w:color w:val="000000"/>
        </w:rPr>
      </w:pPr>
      <w:r>
        <w:rPr>
          <w:color w:val="000000"/>
        </w:rPr>
        <w:t>Интегральная оценка =</w:t>
      </w:r>
      <w:r>
        <w:rPr>
          <w:color w:val="000000"/>
        </w:rPr>
        <w:t>96,7</w:t>
      </w:r>
      <w:r>
        <w:rPr>
          <w:color w:val="000000"/>
        </w:rPr>
        <w:t>.</w:t>
      </w:r>
    </w:p>
    <w:p>
      <w:pPr>
        <w:pStyle w:val="Normal"/>
        <w:tabs>
          <w:tab w:val="clear" w:pos="720"/>
          <w:tab w:val="left" w:pos="-570" w:leader="none"/>
          <w:tab w:val="left" w:pos="0" w:leader="none"/>
          <w:tab w:val="left" w:pos="993" w:leader="none"/>
        </w:tabs>
        <w:suppressAutoHyphens w:val="true"/>
        <w:ind w:left="0" w:right="0" w:firstLine="709"/>
        <w:jc w:val="both"/>
        <w:rPr>
          <w:color w:val="000000"/>
        </w:rPr>
      </w:pPr>
      <w:r>
        <w:rPr>
          <w:color w:val="000000"/>
        </w:rPr>
        <w:t xml:space="preserve">Таким образом, оценка эффективности реализации государственной программы составляет </w:t>
      </w:r>
      <w:r>
        <w:rPr>
          <w:color w:val="000000"/>
        </w:rPr>
        <w:t>96,7</w:t>
      </w:r>
      <w:r>
        <w:rPr>
          <w:color w:val="000000"/>
        </w:rPr>
        <w:t>%. Согласно указанной методике при значении оценки государственной программы от 80 процентов реализация государственной программы признается эффективной.</w:t>
      </w:r>
    </w:p>
    <w:p>
      <w:pPr>
        <w:pStyle w:val="Normal"/>
        <w:ind w:left="709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709" w:right="0" w:hanging="0"/>
        <w:rPr>
          <w:color w:val="000000"/>
        </w:rPr>
      </w:pPr>
      <w:r>
        <w:rPr>
          <w:color w:val="000000"/>
        </w:rPr>
        <w:t>3.Сведения об объёмах финансирования</w:t>
      </w:r>
    </w:p>
    <w:tbl>
      <w:tblPr>
        <w:tblW w:w="15931" w:type="dxa"/>
        <w:jc w:val="left"/>
        <w:tblInd w:w="-1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9" w:type="dxa"/>
          <w:bottom w:w="0" w:type="dxa"/>
          <w:right w:w="74" w:type="dxa"/>
        </w:tblCellMar>
      </w:tblPr>
      <w:tblGrid>
        <w:gridCol w:w="347"/>
        <w:gridCol w:w="1583"/>
        <w:gridCol w:w="1453"/>
        <w:gridCol w:w="929"/>
        <w:gridCol w:w="929"/>
        <w:gridCol w:w="349"/>
        <w:gridCol w:w="654"/>
        <w:gridCol w:w="931"/>
        <w:gridCol w:w="929"/>
        <w:gridCol w:w="790"/>
        <w:gridCol w:w="656"/>
        <w:gridCol w:w="2"/>
        <w:gridCol w:w="929"/>
        <w:gridCol w:w="928"/>
        <w:gridCol w:w="655"/>
        <w:gridCol w:w="656"/>
        <w:gridCol w:w="2"/>
        <w:gridCol w:w="3205"/>
      </w:tblGrid>
      <w:tr>
        <w:trPr/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основ</w:t>
              <w:softHyphen/>
              <w:t>ного мероприя</w:t>
              <w:softHyphen/>
              <w:t>тия/мероприятия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Распорядитель средств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Планируемый объем финансирования (на год), тыс. руб.</w:t>
            </w:r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Предоставленное финансирование, тыс. руб.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Освоение за отчётный период, тыс. руб.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рамках каких соглашений поступают средства из ФБ,МБ и ИИ</w:t>
            </w:r>
          </w:p>
        </w:tc>
      </w:tr>
      <w:tr>
        <w:trPr>
          <w:trHeight w:val="1413" w:hRule="atLeast"/>
          <w:cantSplit w:val="true"/>
        </w:trPr>
        <w:tc>
          <w:tcPr>
            <w:tcW w:w="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-113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13" w:right="-108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59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Подпрограмма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«</w:t>
            </w:r>
            <w:r>
              <w:rPr>
                <w:b/>
                <w:color w:val="000000"/>
                <w:sz w:val="16"/>
                <w:szCs w:val="16"/>
              </w:rPr>
              <w:t>Развитие сельского хозяйства</w:t>
            </w:r>
            <w:r>
              <w:rPr>
                <w:rFonts w:cs="Calibri"/>
                <w:color w:val="000000"/>
                <w:sz w:val="16"/>
                <w:szCs w:val="16"/>
              </w:rPr>
              <w:t>»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«Развитие подотрасли растениеводства»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 (далее – Министерство)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54342,69074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19512,74626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54342,69074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19512,74626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54342,69074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19512,74626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snapToGrid w:val="false"/>
              <w:ind w:left="0" w:right="0" w:hanging="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приобретением элитных семян сельскохозяйственных культур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48134,0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10566,0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48134,0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10566,0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48134,0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10566,0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 федерального бюджета № 082-09-2018-392 от 09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snapToGrid w:val="false"/>
              <w:ind w:left="0" w:right="0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закладкой и уходом за многолетними плодовыми и ягодными насаждениями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6208,69074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1362,86626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6208,69074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1362,86626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6208,67674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1362,88026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1"/>
                <w:numId w:val="2"/>
              </w:numPr>
              <w:snapToGrid w:val="false"/>
              <w:ind w:left="0" w:right="0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производством овощей в защищённом и (или) открытом грунте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7064,6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7064,6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7064,6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519,28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519,28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519,28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«Оказание мер государственной поддержки производства и переработки и реализации продукции растениеводства»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210821,9544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624830,15693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210821,9544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624830,15693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209047,92638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624568,32095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сельскохозяйствнным товаропроизводителям субсидии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58928,45632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58928,45632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58928,45632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её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4866,57638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2003,03163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4866,57638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2003,03163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4866,57638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1978,21163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 федерального бюджета № 082-09-2018-471 от 31 января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7713,18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1030,48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7713,18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1030,48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5939,15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793,47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 федерального бюджета № 082-09-2018-392 от 09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Оказание несвязанной поддержки сельскохозяйственным товаропроизводителям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198242,20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47868,183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198242,20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47868,183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198242,20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47868,183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федерального бюджета № 082-09-2018-313 от 19 января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«Развитие подотрасли животноводства и скотоводства»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99627,11048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21688,50296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99627,11048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21688,50296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99627,11048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21688,50296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деятельностью в области племенного животноводства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53021,30926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11638,81374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53021,30926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11638,81374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52903,8659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10985,8893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 федерального бюджета № 082-09-2018-392 от 09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направленных на повышение продуктивности в молочном скотоводстве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41122,8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9026,957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41122,8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9026,957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41122,8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9026,957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федерального бюджета № 082-08-2018-074 от 24 января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5483,00122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1022,73222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5483,00122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1022,73222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5483,00122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1022,73222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 федерального бюджета № 082-09-2018-471 от 31 января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«Оказание мер государственной поддержки производства и переработки и реализации продукции животноводства и скотоводства»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16152,44438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61793,16889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16152,44438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61793,16889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16152,44438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61793,16889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развитием  экономической деятельности в области животноводства и рыбоводства, включая переработку продукции рыбоводства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56938,00909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56938,00909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56938,00909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13999,6224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3719,95078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13999,6224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3719,95078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13999,6224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3719,95078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 федерального бюджета № 082-09-2018-471 от 31 января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затрат, связанных с уплатой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2152,82198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1135,20902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2152,82198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1135,20902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2152,82198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1135,20902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 федерального бюджета № 082-09-2018-392 от 09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«Поддержка малых форм хозяйствования»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151457,6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88712,78828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151457,6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88712,78828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151457,6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88712,78828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грантов в форме субсидий на поддержку начинающих фермеров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48000,0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10536,6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48000,0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10536,6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48000,0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10536,6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 федерального бюджета № 082-09-2018-392 от 09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7682,93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7682,93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7682,93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потребительским обществам, сельскохозяйственным потребительским кооперативам, садоводческим, огородническим и дачным некоммерческим объединениям граждан субсидий в целях возмещения части затрат, связанных с развитием их экономической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41828,46595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41828,46595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41828,46595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40187,6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8821,7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40187,6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8821,7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40187,6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8821,7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бюджету субъекта Российской Федерации из федерального бюджета № 082-09-2018-392 от 09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6205,6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28270,0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6205,6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Информационная, консультационная и методическая поддержка сельскохозяйственных потребительских кооперативов, потребительских обществ и граждан, ведущих личное подсобное хозяйство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288,36333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288,36333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288,36333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7749,129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7749,129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7749,129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«Техническая и технологическая модернизация, инновационное развитие»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17760,2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17760,2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17760,2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4971,718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4971,718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9660,2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9660,2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9660,20000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хозяйствующим субъектам субсидий в целях возмещения части прямых понесённых затрат связанных с созданием и (или) модернизацией объектов агропромышленного комплекса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28,282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28,282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211" w:hRule="atLeast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532401,8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834297,56332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532401,8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834297,56332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522194,9503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813649,5028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59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Министерство, 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181852,68065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201902,15343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181852,68065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201902,15343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1515,07555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180034,1537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199883,1314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3173,934</w:t>
            </w:r>
          </w:p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67386,4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60000,0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67386,4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60000,0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643,13400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67352,72748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59968,1184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643,134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из федерального бюджета бюджету субъекта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Российской Федерации № 082-08-2018-280 от 08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газификации в сельской местности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16791,0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18615,0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16791,0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285,66989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16 771,6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18 593,5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из федерального бюджета бюджету субъекта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Российской Федерации,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082-07-2018-087 от 12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18181,0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23462,0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18181,0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23462,0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586,27166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18 018,5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23 251,3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2 191,7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2264,0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26389,0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2264,0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26389,0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1 454,1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10 702,6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подготовка проектной документации для строительства зданий фельдшерско-акушерских пунктов и (или) офисов врачей общей практики в сельской местности, включая проведение проверки достоверности определения сметной стоимости</w:t>
            </w:r>
          </w:p>
        </w:tc>
        <w:tc>
          <w:tcPr>
            <w:tcW w:w="1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автомобильных дорого,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74944,2806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70436,1534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74944,2806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70436,1534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74194,8378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69731,7918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субсидии бюджету Ульяновской области из федерального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бюджета в рамках реализации государственной программы Российской Федерации «Государственная программа развития сельского хозяйства и регулирования рынков сельскохозяйственной продукции, сырья и продовольствия на 2013 – 2020 годы»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108-07-2018-025 от 07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плоскостных спортивных сооружений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2286,0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2286,0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2 286,0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из федерального бюджета бюджету субъекта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Российской Федерации, 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082-07-2018-087 от 12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Основное мероприятие «Социально значимые мероприятия в сфере развития сельских территорий», всего, в том числе: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3086,3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37507,59392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3086,3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37507,59392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152,02000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3 083,90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34643,2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180,7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местных инициатив граждан, проживающих в сельской местности, всего, в том числе: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3086,3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17852,59392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3086,3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17852,59392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152,02000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3 083,9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14 988,2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из федерального бюджета бюджету субъекта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Российской Федерации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082-08-2018-195 от 08 февраля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Поощрение и популяризация достижений в сфере развития сельских территорий, всего, в том числе: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19655,0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19655,0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19655,0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59" w:leader="none"/>
              </w:tabs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184938,98065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239409,74735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115619,69537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141246,64103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1667,09555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147 982,83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186173,5184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3354,634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59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«Восстановление мелиоративных систем и предотвращение выбытия из сельскохозяйственного оборота земель сельскохозяйственного назначения», всего, в том числе: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7205,7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8996,24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164928,5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7205,7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8996,24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164928,5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5 837,01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8808,679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164928,5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7205,7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1581,74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93928,5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7205,7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1581,74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93928,5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5837,005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1281,295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93928,5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Соглашение о предоставлении субсидий из федерального бюджета бюджету Ульяновской</w:t>
            </w:r>
          </w:p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области № 082-08-2018-203 от 30 января 2018г.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32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культуртехнических мероприятий на мелиорируемых землях, вовлекаемых в сельскохозяйственный оборот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7414,5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7414,5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7346,684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7205,7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8996,24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164928,5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7205,7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8996,24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164928,5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5 837,01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8808,679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164928,5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592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«Содержание аппарата Министерства и подведомственных Министерству учреждений»</w:t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«Содержание аппарата Министерства и подведомственных Министерству учреждений»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77760,13358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77760,13358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0,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77760,13358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Министерства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53488,83642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53488,83642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53488,83642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21771,29716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21771,29716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21771,29716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и развитие информационных систем, обеспечивающих предоставление государственных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77760,13358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77760,13358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77760,13358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724546,48065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1160463,68425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164928,5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724546,48065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1160463,68425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1667,09555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164928,5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566445,81519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898850,64221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3354,634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164928,5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Сведения о достижении целевых индикаторов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6008" w:type="dxa"/>
        <w:jc w:val="left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0" w:type="dxa"/>
          <w:bottom w:w="0" w:type="dxa"/>
          <w:right w:w="85" w:type="dxa"/>
        </w:tblCellMar>
      </w:tblPr>
      <w:tblGrid>
        <w:gridCol w:w="693"/>
        <w:gridCol w:w="2274"/>
        <w:gridCol w:w="6013"/>
        <w:gridCol w:w="1807"/>
        <w:gridCol w:w="2088"/>
        <w:gridCol w:w="1463"/>
        <w:gridCol w:w="1669"/>
      </w:tblGrid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 (раздела), мероприятия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Плановое значение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достижения целевого индикатора (Факт/План)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«Развитие сельского хозяйства»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«Развитие подотрасли растениеводства»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ценах), % к предыдущему году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продукции растениеводства в хозяйствах всех категорий (в сопоставимых ценах), % к предыдущему году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Размер посевных площадей, занятых зерновыми, зернобобовыми и кормовыми сельскохозяйственными культурами</w:t>
            </w:r>
            <w:r>
              <w:rPr>
                <w:color w:val="000000"/>
                <w:sz w:val="20"/>
                <w:szCs w:val="20"/>
              </w:rPr>
              <w:t>,  тыс. га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739,1946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площади, засеваемая элитными семенами в общей площади посевов, 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производства семенного картофеля, тонн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реализованного семенного картофеля, тонн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Валовой сбор продукции растениеводства в хозяйствах всех категорий, тыс. тонн: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зерновых и зернобобовых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1026,2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1167,3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сахарной свеклы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274,028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11,9328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103,76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Валовой сбор продукции растениеводства в сельскохозяйственных организациях, крестьянских (фермерских) хозяйствах, включая индивидуальных предпринимателей: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картофеля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35,126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овощей открытого грунта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49,2788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закладки многолетних насаждений, тыс. га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0,0571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Посевная площадь, занятая семенами питомников второго и (или) третьего года размножения зерновых и (или) зернобобовых сельскохозяйственных культур, в общей площади посевов зерновых и зернобобовых сельскохозяйственных культур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7335,6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122,26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мер государственной поддержки производства и переработки и реализации продукции растениеводства»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пищевых продуктов, включая напитки (в сопоставимых ценах), % к предыдущему году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застрахованных посевных площадей, тыс. га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«Развитие подотрасли животноводства и скотоводства»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ценах), % к предыдущему году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Племенное условное маточное поголовье сельскохозяйственных животных, тыс. условных голов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,225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мер государственной поддержки производства и переработки и реализации продукции животноводства и скотоводства»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62,787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95,86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молока в хозяйствах всех категорий, тыс. тонн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211,029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предпринимателей, тыс. тонн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115,729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Численность застрахованного поголовья сельскохозяйственных животных, тыс.усл. голов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31,6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574,55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MS Mincho;ＭＳ 明朝"/>
                <w:sz w:val="20"/>
                <w:szCs w:val="20"/>
              </w:rPr>
            </w:pPr>
            <w:r>
              <w:rPr>
                <w:rFonts w:eastAsia="MS Mincho;ＭＳ 明朝"/>
                <w:color w:val="000000"/>
                <w:sz w:val="20"/>
                <w:szCs w:val="20"/>
              </w:rPr>
              <w:t>Объём производства (выращивания) товарной рыбы и других объектов промышленного рыбоводства, тонн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148,33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«Поддержка малых форм хозяйствования»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ед.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построенных или реконструированных семейных животноводческих ферм, ед.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объёма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грантовой поддержки, к году, предшествующему году предоставления субсидии, % к пред.году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сельскохозяйственных потребительских кооперативов, развивших свою материально-техническую базу с помощью грантовой поддержки, ед.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объёма сельскохозяйственной продукции, реализованной сельскохозяйственными потребительскими кооперативами, получившими средства грантовой поддержки, к году, предшествующему году предоставления субсидии, % к пред. году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граждан, ед.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годом, % к пред. году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созданных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базы, ед.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MS Mincho;ＭＳ 明朝"/>
                <w:color w:val="000000"/>
                <w:sz w:val="20"/>
                <w:szCs w:val="20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поддержки, ед.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156,82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MS Mincho;ＭＳ 明朝"/>
                <w:sz w:val="20"/>
                <w:szCs w:val="20"/>
              </w:rPr>
            </w:pPr>
            <w:r>
              <w:rPr>
                <w:rFonts w:eastAsia="MS Mincho;ＭＳ 明朝"/>
                <w:color w:val="000000"/>
                <w:sz w:val="20"/>
                <w:szCs w:val="20"/>
              </w:rPr>
              <w:t>Количество участников социально значимых мероприятий, чел.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MS Mincho;ＭＳ 明朝"/>
                <w:sz w:val="20"/>
                <w:szCs w:val="20"/>
              </w:rPr>
            </w:pPr>
            <w:r>
              <w:rPr>
                <w:rFonts w:eastAsia="MS Mincho;ＭＳ 明朝"/>
                <w:color w:val="000000"/>
                <w:sz w:val="20"/>
                <w:szCs w:val="20"/>
              </w:rPr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области, 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«Техническая и технологическая модернизация, инновационное развитие»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Рентабельности сельскохозяйственных организаций (с учетом субсидий), %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277,97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производительности труда к предыдущему году, % к предыдущему году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высокопроизводительных рабочих мест, тыс.ед.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Среднемесячная заработная плата работников сельского хозяйства (без субъектов малого предпринимательства), руб.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20294,0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17441,6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мониторинга, га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«Повышение уровня комфортного проживания в сельской местности»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Объём ввода жилых помещений в эксплуатацию (приобретение жилых помещений) для граждан, проживающих в сельской местности, тыс. кв. м.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для молодых семей и молодых специалистов, тыс. кв. м.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5,334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5,334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MS Mincho;ＭＳ 明朝"/>
                <w:sz w:val="20"/>
                <w:szCs w:val="20"/>
              </w:rPr>
            </w:pPr>
            <w:r>
              <w:rPr>
                <w:rFonts w:eastAsia="MS Mincho;ＭＳ 明朝"/>
                <w:color w:val="000000"/>
                <w:sz w:val="20"/>
                <w:szCs w:val="20"/>
              </w:rPr>
              <w:t>для граждан, кроме молодых семей и молодых специалистов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2,286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2,286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введенных в эксплуатацию распределительных газовых сетей, км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введенных в эксплуатацию локальных водопроводов, км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129,67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км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4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3,78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4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7,357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4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Общее количество введенных в эксплуатацию фельдшерско-акушерских пунктов и (или) офисов врача общей практики, ед.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введенных в эксплуатацию плоскостных спортивных сооружений, кв.м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MS Mincho;ＭＳ 明朝"/>
                <w:color w:val="000000"/>
                <w:sz w:val="20"/>
                <w:szCs w:val="20"/>
              </w:rPr>
            </w:pPr>
            <w:r>
              <w:rPr>
                <w:rFonts w:eastAsia="MS Mincho;ＭＳ 明朝"/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MS Mincho;ＭＳ 明朝"/>
                <w:sz w:val="20"/>
                <w:szCs w:val="20"/>
              </w:rPr>
            </w:pPr>
            <w:r>
              <w:rPr>
                <w:rFonts w:eastAsia="MS Mincho;ＭＳ 明朝"/>
                <w:color w:val="000000"/>
                <w:sz w:val="20"/>
                <w:szCs w:val="20"/>
              </w:rPr>
              <w:t>Количество реализованных проектов  местных инициатив граждан, проживающих в сельской местности, получивших грантовую поддержку, ед.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«Восстановление мелиоративных систем и 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MS Mincho;ＭＳ 明朝"/>
                <w:color w:val="000000"/>
                <w:sz w:val="20"/>
                <w:szCs w:val="20"/>
              </w:rPr>
              <w:t>Ввод в эксплуатацию мелиорируемых земель за счёт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>
              <w:rPr>
                <w:color w:val="000000"/>
                <w:sz w:val="20"/>
                <w:szCs w:val="20"/>
              </w:rPr>
              <w:t xml:space="preserve">, тыс. га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введенных в оборот ранее не используемых сельскохозяйственных угодий в результате проведения культуртехнических мероприятий, тыс.га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4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1,544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4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2,472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4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и сохранение сельскохозяйственных угодий от ветровой эрозии и опустынивания за счёт проведения агролесомелиоративных мероприятий, тыс. га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ListParagraph"/>
        <w:jc w:val="center"/>
        <w:rPr>
          <w:color w:val="000000"/>
        </w:rPr>
      </w:pPr>
      <w:r>
        <w:rPr>
          <w:color w:val="000000"/>
        </w:rPr>
      </w:r>
    </w:p>
    <w:p>
      <w:pPr>
        <w:pStyle w:val="ListParagraph"/>
        <w:jc w:val="center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1"/>
        </w:numPr>
        <w:jc w:val="center"/>
        <w:rPr>
          <w:szCs w:val="28"/>
        </w:rPr>
      </w:pPr>
      <w:r>
        <w:rPr>
          <w:color w:val="000000"/>
          <w:szCs w:val="28"/>
        </w:rPr>
        <w:t>Итоговый отчёт об исполнении плана-графика реализации государственной программы по итогам 2018г.</w:t>
      </w:r>
    </w:p>
    <w:tbl>
      <w:tblPr>
        <w:tblW w:w="15491" w:type="dxa"/>
        <w:jc w:val="left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9" w:type="dxa"/>
          <w:bottom w:w="0" w:type="dxa"/>
          <w:right w:w="74" w:type="dxa"/>
        </w:tblCellMar>
      </w:tblPr>
      <w:tblGrid>
        <w:gridCol w:w="3118"/>
        <w:gridCol w:w="1454"/>
        <w:gridCol w:w="1227"/>
        <w:gridCol w:w="1088"/>
        <w:gridCol w:w="939"/>
        <w:gridCol w:w="896"/>
        <w:gridCol w:w="1288"/>
        <w:gridCol w:w="1358"/>
        <w:gridCol w:w="1844"/>
        <w:gridCol w:w="2277"/>
      </w:tblGrid>
      <w:tr>
        <w:trPr/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Исполнитель мероприятия (ИОГВ,ФИО, должность, тел.)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Плановый срок реализации мероприятия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Фактический срок реализации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Финансирование (по всем источникам) на отчётный период, тыс. руб.</w:t>
            </w:r>
            <w:r>
              <w:rPr>
                <w:rStyle w:val="Style21"/>
                <w:rStyle w:val="Style21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реализации мероприятий ГП (краткое описание, % выполнения работы)/значения целевых индикаторов</w:t>
            </w:r>
          </w:p>
        </w:tc>
      </w:tr>
      <w:tr>
        <w:trPr/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Плановое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Фактическое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запланированные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достигнутые</w:t>
            </w:r>
          </w:p>
        </w:tc>
      </w:tr>
      <w:tr>
        <w:trPr>
          <w:trHeight w:val="250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31.12.2018</w:t>
            </w:r>
            <w:bookmarkStart w:id="0" w:name="__DdeLink__9766_2224328908"/>
            <w:bookmarkEnd w:id="0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0" w:right="0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2049938,6649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2029439,2782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«Развитие сельского хозяйства», итого: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-786" w:right="0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1366699,36332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1335844,4531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20"/>
                <w:tab w:val="left" w:pos="284" w:leader="none"/>
              </w:tabs>
              <w:ind w:left="0" w:right="0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Основное мероприятие «Развитие подотрасли растениеводства»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-786" w:right="0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73855,437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-786" w:right="0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73855,437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приобретением элитных семян сельскохозяйственных культур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58700,0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58700,0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закладкой и уходом за многолетними плодовыми и ягодными насаждениями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7571,557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7571,557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производством овощей в защищённом и (или) открытом грунте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7064,6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7064,6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01.10.2018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519,28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519,28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2.Основное мероприятие «Оказание мер государственной поддержки производства и переработки и реализации продукции растениеводства»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0" w:right="0" w:hanging="0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835652,11133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833616,2473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58928,45632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58928,45632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её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-699" w:right="96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6869,60801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6844,7880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8746,664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6732,6200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несвязанной поддержки сельскохозяйственным товаропроизводителям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246110,383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246110,383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>
          <w:trHeight w:val="794" w:hRule="atLeast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515000,0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3. Основное мероприятие «Развитие подотрасли животноводства и скотоводства»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20"/>
                <w:tab w:val="left" w:pos="773" w:leader="none"/>
              </w:tabs>
              <w:ind w:left="-786" w:right="-78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121315,61344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20"/>
                <w:tab w:val="left" w:pos="773" w:leader="none"/>
              </w:tabs>
              <w:ind w:left="-786" w:right="-78" w:firstLine="70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121315,61344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деятельностью в области племенного животноводства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64660,123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64660,123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направленных на повышение продуктивности в молочном скотоводстве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50149,757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50149,757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6505,73344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6505,73344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4.Основное мероприятие «Оказание мер государственной поддержки производства и переработки и реализации продукции животноводства и скотоводства»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-786" w:right="0" w:firstLine="709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77945,61327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4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</w:rPr>
              <w:t>77945,6,61327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b/>
                <w:b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развитием  экономической деятельности в области животноводства и рыбоводства, включая переработку продукции рыбоводства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56938,00909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56938,00909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её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17719,57318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17719,57318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затрат, связанных с уплатой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3288,031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3288,031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5.Основное мероприятие «Поддержка малых форм хозяйствования»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0" w:right="0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240170,38828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0" w:right="96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240170,38828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грантов в форме субсидий на поддержку начинающих фермеров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58536,6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58536,6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42682,93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42682,93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потребительским обществам, сельскохозяйственным потребительским кооперативам, садоводческим, огородническим и дачным некоммерческим объединениям граждан субсидий в целях возмещения части затрат, связанных с развитием их экономической деятельности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41828,46595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41828,46595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49009,3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49009,3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34475,6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34475,6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Информационная, консультационная и методическая поддержка сельскохозяйственных потребительских кооперативов, потребительских обществ и граждан, ведущих личное подсобное хозяйство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288,36333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288,36333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из областного бюджета Ульяновской области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7749,129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7749,129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4800,0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6.Основное мероприятие «Техническая и технологическая модернизация, инновационное развитие»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17760,2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15671,903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3100,0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1761,703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Мониторинг плодородия почв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9660,2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9660,2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хозяйствующим субъектам субси-дий в целях возме-щения части прямых поне-сённых затрат свя-занных с созданием и (или) модерниза-цией объектов агро-промышленного комплекса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28,282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Целевые индикаторы подпрограммы, ед.изм.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производства продукции сельского хозяйства в хозяйствах всех категорий (в сопоставимых ценах), % к предыдущему году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94,81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производства продукции растениеводства в хозяйствах всех категорий (в сопоставимых ценах), % к предыдущему году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Размер посевных площадей, занятых зерновыми, зернобобовыми и кормовыми сельскохозяйственными культурами</w:t>
            </w:r>
            <w:r>
              <w:rPr>
                <w:color w:val="000000"/>
                <w:sz w:val="16"/>
                <w:szCs w:val="16"/>
              </w:rPr>
              <w:t>,  тыс. га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739,1946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площади, засеваемая элитными семенами в общей площади посевов, 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133,75%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производства семенного картофеля, тонн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реализованного семенного картофеля, тонн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Валовой сбор продукции растениеводства в хозяйствах всех категорий, тыс. тонн: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зерновых и зернобобовых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1026,2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1167,3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113,75%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сахарной свеклы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274,028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103,21%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103,76%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закладки многолетних насаждений, тыс. га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производства пищевых продуктов, включая напитки (в сопоставимых ценах), % к предыдущему году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102,02%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застрахованных посевных площадей, тыс. га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226,42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Посевная площадь, занятая семенами питомников второго и (или) третьего года размножения зерновых и (или) зернобобовых сельскохозяйственных культур, в общей площади посевов зерновых и зернобобовых сельскохозяйственных культур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7335,6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122%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производства продукции животноводства в хозяйствах всех категорий (в сопоставимых ценах), % к предыдущему году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Племенное условное маточное поголовье сельскохозяйственных животных, тыс. условных голов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100,55%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62,787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95,86%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Производство молока в хозяйствах всех категорий, тыс. тонн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211,029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91,75%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предпринимателей, тыс. тонн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105,88%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Численность застрахованного поголовья сельскохозяйственных животных, тыс.усл. голов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574,55%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производства (выращивания) товарной рыбы и других объектов промышленного рыбоводства, тонн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148,33%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крестьянских (фермерских) хозяйств начинающих фермеров, осуществивших проекты создания и развития своих хозяйств с помощью государственной поддержки, ед.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построенных или реконструированных семейных животноводческих ферм, ед.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Прирост объёма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грантовой поддержки, к году, предшествующему году предоставления субсидии, % к пред.году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сельскохозяйственных потребительских кооперативов, развивших свою материально-техническую базу с помощью грантовой поддержки, ед.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объёма сельскохозяйственной продукции, реализованной сельскохозяйственными потребительскими кооперативами, получившими средства грантовой поддержки, к году, предшествующему году предоставления субсидии, % к пред. году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790%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граждан, ед.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годом, % к пред. году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созданных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базы, ед.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328,57%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MS Mincho;ＭＳ 明朝"/>
                <w:sz w:val="16"/>
                <w:szCs w:val="16"/>
              </w:rPr>
            </w:pPr>
            <w:r>
              <w:rPr>
                <w:rFonts w:eastAsia="MS Mincho;ＭＳ 明朝"/>
                <w:color w:val="000000"/>
                <w:sz w:val="16"/>
                <w:szCs w:val="16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поддержки, ед.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156,82%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MS Mincho;ＭＳ 明朝"/>
                <w:sz w:val="16"/>
                <w:szCs w:val="16"/>
              </w:rPr>
            </w:pPr>
            <w:r>
              <w:rPr>
                <w:rFonts w:eastAsia="MS Mincho;ＭＳ 明朝"/>
                <w:color w:val="000000"/>
                <w:sz w:val="16"/>
                <w:szCs w:val="16"/>
              </w:rPr>
              <w:t>Количество участников социально значимых мероприятий, чел.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MS Mincho;ＭＳ 明朝"/>
                <w:sz w:val="16"/>
                <w:szCs w:val="16"/>
              </w:rPr>
            </w:pPr>
            <w:r>
              <w:rPr>
                <w:rFonts w:eastAsia="MS Mincho;ＭＳ 明朝"/>
                <w:color w:val="000000"/>
                <w:sz w:val="16"/>
                <w:szCs w:val="16"/>
              </w:rPr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области, 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Рентабельности сельскохозяйственных организаций (с учетом субсидий), %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277,97%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Индекс производительности труда к предыдущему году, % к предыдущему году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высокопроизводительных рабочих мест, тыс.ед.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Среднемесячная заработная плата работников сельского хозяйства (без субъектов малого предпринимательства), руб.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20294,0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17441,6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85,94%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мониторинга, га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«Устойчивое развитие сельских территорий»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ind w:left="-778" w:right="0" w:firstLine="709"/>
              <w:jc w:val="center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424348,728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420105,240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1.Основное мероприятие «Повышение уровня комфортного проживания в сельской местности»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383754,83408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230436,259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127386,4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ru-RU" w:eastAsia="zh-CN" w:bidi="ar-SA"/>
              </w:rPr>
              <w:t>127322,746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Покупка и строительство жилья гражданами, молодыми семьями и молодыми специалистами, 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газификации в сельской местности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35406,0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ru-RU" w:eastAsia="zh-CN" w:bidi="ar-SA"/>
              </w:rPr>
              <w:t>35 365,10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 в действие распределительных гаховых сетей в сельской местности, 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41643,0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ru-RU" w:eastAsia="zh-CN" w:bidi="ar-SA"/>
              </w:rPr>
              <w:t>41 269,80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и реконструкция локальных водопроводов, 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28653,0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ru-RU" w:eastAsia="zh-CN" w:bidi="ar-SA"/>
              </w:rPr>
              <w:t>12 156,70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Ввод в действие фельдшерско-акушерских пунктов, 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автомобильных дорого,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145380,43408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val="ru-RU" w:eastAsia="zh-CN" w:bidi="ar-SA"/>
              </w:rPr>
              <w:t>143926,6297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автомобильных дорог общего пользования с твердым покрытием, 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плоскостных спортивных сооружений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5286,0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5286,0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Строительство спортивного сооружения (стадиона), 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2.Основное мероприятие «Социально значимые мероприятия в сфере развития сельских территорий»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40593,89392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37 727,10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20938,89392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18 072,10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Поставка детских площадок в муниципальные образования, 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19655,0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19655,0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Перечисление выплат пенсионерам и молодым специалистам отрасли, 100%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Объём ввода жилых помещений в эксплуатацию (приобретение жилых помещений) для граждан, проживающих в сельской местности, тыс. кв. м.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для молодых семей и молодых специалистов, тыс. кв. м.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5,334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MS Mincho;ＭＳ 明朝"/>
                <w:sz w:val="16"/>
                <w:szCs w:val="16"/>
              </w:rPr>
            </w:pPr>
            <w:r>
              <w:rPr>
                <w:rFonts w:eastAsia="MS Mincho;ＭＳ 明朝"/>
                <w:color w:val="000000"/>
                <w:sz w:val="16"/>
                <w:szCs w:val="16"/>
              </w:rPr>
              <w:t>для граждан, кроме молодых семей и молодых специалистов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Протяженность введенных в эксплуатацию распределительных газовых сетей, км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109,02%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Протяженность введенных в эксплуатацию локальных водопроводов, км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129,67%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км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4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3,78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4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7,357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4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4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194,6%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Общее количество введенных в эксплуатацию фельдшерско-акушерских пунктов и (или) офисов врача общей практики, ед.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введенных в эксплуатацию плоскостных спортивных сооружений, кв.м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rFonts w:eastAsia="MS Mincho;ＭＳ 明朝"/>
                <w:sz w:val="16"/>
                <w:szCs w:val="16"/>
              </w:rPr>
            </w:pPr>
            <w:r>
              <w:rPr>
                <w:rFonts w:eastAsia="MS Mincho;ＭＳ 明朝"/>
                <w:color w:val="000000"/>
                <w:sz w:val="16"/>
                <w:szCs w:val="16"/>
              </w:rPr>
              <w:t>Количество реализованных проектов  местных инициатив граждан, проживающих в сельской местности, получивших грантовую поддержку, ед.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166,67%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181130,44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166674,5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Основное мероприятие «Восстановление мелиоративных систем и предотвращение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181130,44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166674,5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102715,94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101046,8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культуртехнических мероприятий на мелиорируемых землях, вовлекаемых в сельскохозяйственный оборот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34414,5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34346,684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26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 субсидий сельхозтоваропроизводителям, 100 %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Целевые индикаторы основного мероприятия, ед. изм.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MS Mincho;ＭＳ 明朝"/>
                <w:color w:val="000000"/>
                <w:sz w:val="16"/>
                <w:szCs w:val="16"/>
              </w:rPr>
              <w:t>Ввод в эксплуатацию мелиорируемых земель за счёт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>
              <w:rPr>
                <w:color w:val="000000"/>
                <w:sz w:val="16"/>
                <w:szCs w:val="16"/>
              </w:rPr>
              <w:t xml:space="preserve">, тыс. га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10,34%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введенных в оборот ранее не используемых сельскохозяйственных угодий в результате проведения культуртехнических мероприятий, тыс.га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160,1%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Защита и сохранение сельскохозяйственных угодий от ветровой эрозии и опустынивания за счёт проведения агролесомелиоративных мероприятий, тыс. га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0%</w:t>
            </w:r>
          </w:p>
        </w:tc>
      </w:tr>
    </w:tbl>
    <w:p>
      <w:pPr>
        <w:pStyle w:val="Normal"/>
        <w:ind w:left="0" w:right="0" w:firstLine="709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1" w:name="__DdeLink__25535_2837214880"/>
      <w:bookmarkEnd w:id="1"/>
      <w:r>
        <w:rPr>
          <w:color w:val="000000"/>
        </w:rPr>
        <w:t xml:space="preserve">Сведения о достижении ожидаемого эффекта </w:t>
      </w:r>
    </w:p>
    <w:p>
      <w:pPr>
        <w:pStyle w:val="Normal"/>
        <w:jc w:val="center"/>
        <w:rPr>
          <w:u w:val="single"/>
        </w:rPr>
      </w:pPr>
      <w:r>
        <w:rPr>
          <w:color w:val="000000"/>
          <w:u w:val="single"/>
        </w:rPr>
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2014-2021 годы»</w:t>
      </w:r>
    </w:p>
    <w:tbl>
      <w:tblPr>
        <w:tblW w:w="15000" w:type="dxa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</w:tblPr>
      <w:tblGrid>
        <w:gridCol w:w="544"/>
        <w:gridCol w:w="9857"/>
        <w:gridCol w:w="1249"/>
        <w:gridCol w:w="1250"/>
        <w:gridCol w:w="1249"/>
        <w:gridCol w:w="2"/>
        <w:gridCol w:w="848"/>
      </w:tblGrid>
      <w:tr>
        <w:trPr/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 </w:t>
            </w: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Ожидаемый эффект от реализации государственной 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 год план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2018 год факт</w:t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Удельный вес сельскохозяйственной продукции, произведённой на территории Ульяновской области: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120,48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146,73</w:t>
            </w:r>
          </w:p>
        </w:tc>
      </w:tr>
      <w:tr>
        <w:trPr>
          <w:trHeight w:val="323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Растительное масло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158,56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102,64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Мясо и мясопродукты (в пересчёте на мясо)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98,16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 и молочная продукция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Прирост инвестиций в основной капитал сельского хозяйства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108,7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рентабельности сельскохозяйственного производства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110,17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106,52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Повышение уровня обеспеченности сельских населённых пунктов: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Природным газом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55,88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65,42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Автомобильными дорогами, ведущими к объектам производства и переработки сельскохозяйственной продукции, расположенным в границах территорий сельских населённых пунктов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78,13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Населения сельских населённых пунктов медицинскими услугами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44,42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обеспеченности населения Ульяновской области объектами спорта исходя из единовременной пропускной способности объектов спорта, находящихся на территории Ульяновской области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65,79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площади мелиорируемых земель за счёт строительства новых и реконструкции имеющихся оросительных систем, а также технического перевооружения оросительных систем, включая мелиоративные системы общего и индивидуального пользования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гектаров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102,27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площади используемых сельскохозяйственных угодий за счёт введения в оборот ранее не используемых сельскохозяйственных угодий в результате выполнения культуртехнических работ сельскохозяйственными товаропроизводителями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гектаров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1,244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123,79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площади земель, защищённых от водной эрозии, затопления и подтопления за счёт проведения противопаводковых мероприятий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гектаров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площади земель, защищённых от ветровой эрозии и опустынивания за счёт проведения агролесомелиоративных и фитомелиоративных мероприятий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 гектаров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110,96</w:t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  <w:bookmarkStart w:id="2" w:name="__DdeLink__25535_28372148801"/>
      <w:bookmarkStart w:id="3" w:name="__DdeLink__25535_28372148801"/>
      <w:bookmarkEnd w:id="3"/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СВЕДЕНИЯ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о внесенных изменениях в государственную программу за 2018 год</w:t>
      </w:r>
    </w:p>
    <w:p>
      <w:pPr>
        <w:pStyle w:val="Normal"/>
        <w:jc w:val="center"/>
        <w:rPr>
          <w:color w:val="000000"/>
        </w:rPr>
      </w:pPr>
      <w:r>
        <w:rPr>
          <w:color w:val="000000"/>
          <w:u w:val="single"/>
        </w:rPr>
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 на 2014-2020 годы»</w:t>
      </w:r>
      <w:r>
        <w:rPr>
          <w:color w:val="000000"/>
        </w:rPr>
        <w:t xml:space="preserve">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sz w:val="24"/>
        </w:rPr>
        <w:t>наименование государственной программы</w:t>
      </w:r>
      <w:r>
        <w:rPr>
          <w:color w:val="000000"/>
        </w:rPr>
        <w:t>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W w:w="1491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0" w:type="dxa"/>
          <w:bottom w:w="75" w:type="dxa"/>
          <w:right w:w="0" w:type="dxa"/>
        </w:tblCellMar>
      </w:tblPr>
      <w:tblGrid>
        <w:gridCol w:w="659"/>
        <w:gridCol w:w="4726"/>
        <w:gridCol w:w="4960"/>
        <w:gridCol w:w="4568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нормативного правового акта об утверждении (внесении изменений) государственную программу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Постановление Правительства Ульяновской области от 02.01.2018 № 2/32-П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целях приведения в соответствие с областным бюджетом Ульяновской области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Изменения в План-график не вносились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Постановление Правительства Ульяновской области от 22.05.2018 № 13/214-П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целях приведения в соответствие с областным бюджетом Ульяновской области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Министерства сельского, лесного хозяйства и природных ресурсов  Ульяновской области от 30.05.2018 № 788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Постановление Правительства Ульяновской области от 16.08.2018 № 19/378-П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целях приведения в соответствие с област-ным бюджетом Ульяновской области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Распоряжение Министерства агропромышленного комплекса и развития сельских территорий  Ульяновской области от 24.08.2018 № 1264</w:t>
            </w:r>
          </w:p>
        </w:tc>
      </w:tr>
    </w:tbl>
    <w:p>
      <w:pPr>
        <w:pStyle w:val="Normal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sectPr>
      <w:footnotePr>
        <w:numFmt w:val="decimal"/>
      </w:footnote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1"/>
        <w:rPr/>
      </w:pPr>
      <w:r>
        <w:rPr>
          <w:rStyle w:val="Style16"/>
        </w:rPr>
        <w:footnoteRef/>
      </w:r>
      <w:r>
        <w:rPr/>
        <w:tab/>
        <w:t xml:space="preserve"> Графы </w:t>
      </w:r>
      <w:r>
        <w:rPr>
          <w:lang w:val="en-US"/>
        </w:rPr>
        <w:t>X</w:t>
      </w:r>
      <w:r>
        <w:rPr/>
        <w:t xml:space="preserve">  не заполняются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-709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hanging="-284"/>
      </w:pPr>
    </w:lvl>
    <w:lvl w:ilvl="1">
      <w:start w:val="1"/>
      <w:numFmt w:val="decimal"/>
      <w:suff w:val="space"/>
      <w:lvlText w:val="%1.%2."/>
      <w:lvlJc w:val="left"/>
      <w:pPr>
        <w:ind w:left="0" w:hanging="-284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ind w:left="0" w:hanging="-284"/>
      </w:pPr>
    </w:lvl>
    <w:lvl w:ilvl="1">
      <w:start w:val="1"/>
      <w:numFmt w:val="decimal"/>
      <w:suff w:val="space"/>
      <w:lvlText w:val="%1.%2."/>
      <w:lvlJc w:val="left"/>
      <w:pPr>
        <w:ind w:left="0" w:hanging="-284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ind w:left="0" w:hanging="-709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isplayBackgroundShape/>
  <w:defaultTabStop w:val="720"/>
  <w:autoHyphenation w:val="tru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szCs w:val="28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>
      <w:sz w:val="28"/>
      <w:szCs w:val="28"/>
    </w:rPr>
  </w:style>
  <w:style w:type="character" w:styleId="WW8Num16z1">
    <w:name w:val="WW8Num16z1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1">
    <w:name w:val="Основной шрифт абзаца1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Текст сноски Знак"/>
    <w:basedOn w:val="1"/>
    <w:qFormat/>
    <w:rPr/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Style18">
    <w:name w:val="Верхний колонтитул Знак"/>
    <w:qFormat/>
    <w:rPr>
      <w:sz w:val="28"/>
      <w:szCs w:val="28"/>
    </w:rPr>
  </w:style>
  <w:style w:type="character" w:styleId="Style19">
    <w:name w:val="Нижний колонтитул Знак"/>
    <w:qFormat/>
    <w:rPr>
      <w:sz w:val="28"/>
      <w:szCs w:val="28"/>
    </w:rPr>
  </w:style>
  <w:style w:type="character" w:styleId="Style20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1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22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ListLabel1">
    <w:name w:val="ListLabel 1"/>
    <w:qFormat/>
    <w:rPr>
      <w:szCs w:val="28"/>
    </w:rPr>
  </w:style>
  <w:style w:type="character" w:styleId="ListLabel2">
    <w:name w:val="ListLabel 2"/>
    <w:qFormat/>
    <w:rPr>
      <w:szCs w:val="28"/>
    </w:rPr>
  </w:style>
  <w:style w:type="character" w:styleId="ListLabel3">
    <w:name w:val="ListLabel 3"/>
    <w:qFormat/>
    <w:rPr>
      <w:szCs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ListLabel4">
    <w:name w:val="ListLabel 4"/>
    <w:qFormat/>
    <w:rPr>
      <w:szCs w:val="28"/>
    </w:rPr>
  </w:style>
  <w:style w:type="character" w:styleId="ListLabel5">
    <w:name w:val="ListLabel 5"/>
    <w:qFormat/>
    <w:rPr>
      <w:szCs w:val="28"/>
    </w:rPr>
  </w:style>
  <w:style w:type="character" w:styleId="ListLabel6">
    <w:name w:val="ListLabel 6"/>
    <w:qFormat/>
    <w:rPr>
      <w:szCs w:val="28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;Arial" w:hAnsi="Liberation Sans;Arial" w:eastAsia="Tahoma" w:cs="Noto Sans Devanagari;Times New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Noto Sans Devanagari;Times New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;Times New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11">
    <w:name w:val="Указатель1"/>
    <w:basedOn w:val="Normal"/>
    <w:qFormat/>
    <w:pPr>
      <w:suppressLineNumbers/>
    </w:pPr>
    <w:rPr>
      <w:rFonts w:cs="Noto Sans Devanagari;Times New"/>
    </w:rPr>
  </w:style>
  <w:style w:type="paragraph" w:styleId="Style29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szCs w:val="24"/>
    </w:rPr>
  </w:style>
  <w:style w:type="paragraph" w:styleId="Style31">
    <w:name w:val="Footnote Text"/>
    <w:basedOn w:val="Normal"/>
    <w:pPr/>
    <w:rPr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ind w:left="0" w:right="96"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2"/>
      <w:lang w:val="ru-RU" w:eastAsia="zh-CN" w:bidi="ar-SA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Application>LibreOffice/6.1.3.2$Linux_X86_64 LibreOffice_project/10$Build-2</Application>
  <Pages>36</Pages>
  <Words>8513</Words>
  <Characters>65901</Characters>
  <CharactersWithSpaces>72252</CharactersWithSpaces>
  <Paragraphs>2327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2019-01-23T11:22:00Z</dcterms:created>
  <dc:creator/>
  <dc:description/>
  <dc:language>ru-RU</dc:language>
  <cp:lastModifiedBy/>
  <cp:lastPrinted>2019-03-06T17:44:49Z</cp:lastPrinted>
  <dcterms:modified xsi:type="dcterms:W3CDTF">2019-03-12T13:58:33Z</dcterms:modified>
  <cp:revision>25</cp:revision>
  <dc:subject/>
  <dc:title>Комитет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